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spacing w:lineRule="auto"/>
      </w:pPr>
      <w:r>
        <w:rPr/>
        <w:t xml:space="preserve">Gegenereerd door TenderAI • 11/3/2025</w:t>
      </w:r>
    </w:p>
    <w:p>
      <w:pPr>
        <w:spacing w:lineRule="auto"/>
      </w:pPr>
      <w:r>
        <w:rPr/>
        <w:t xml:space="preserve">Bewijsstukkenbundel — UTR-MAINT-2025-041 — Onderhoud en verduurzaming gemeentelijke wegen 2025–2029 Opdrachtgever: Gemeente Utrecht. Inzender: InfraTech Solutions B.V. Doel: aantoonbaar voldoen aan KO/REQ en onderbouwen van EMVI-criteria Kwaliteit, Duurzaamheid, Risicobeheersing en Prijs. PDCA-gericht, SMART gemeten via SLA/KPI.</w:t>
      </w:r>
    </w:p>
    <w:p>
      <w:pPr>
        <w:spacing w:lineRule="auto"/>
      </w:pPr>
      <w:r>
        <w:rPr/>
        <w:t xml:space="preserve">Overzicht bijlagen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 (W-xx/KO/REQ)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Verwijzing (pag./sectie)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 certificaat (kwaliteitssysteem)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KO; 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14001 certificaat (milieumanagement)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KO;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VCA** certificaat (veiligheid)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REQ-veilig;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CO₂-Prestatieladder niveau 4 + Energie-/reductieplan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REQ-duurzaam; 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Geldig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Mobilisatieplan 24/7-storingsdienst + bereikbaarheidsrooster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Materieeloverzicht emissiearm/ZE (Stage V/elektrisch)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 Digitale weekrapportage + GIS-export (datahandboek)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SLA- en KPI-meetplan (methodiek, dashboards)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 (RISMAN) + beheersmaatregelen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W-01–W-12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uitvoering 2025–2029 (fasering/Gantt)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W-01–W-12, W-15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Verkeersveiligheidsplan (CROW 96b) + werkplannen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REQ-veilig; 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Kwaliteitsplan (ITP) asfalt/klinkers + mengselverklaringen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REQ-kwaliteit; W-02–W-06, 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Auditschema (interne audits 9001/14001) + jaarkalender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KO-borging; W-13, 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Winterdienstplan (routes, strooicurves, zoutopslag)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REQ; 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AVG- en informatiebeveiligingsmaatregelen GIS-koppeling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REQ-digitaal; 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Klachten- en stakeholdermanagementprocedure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REQ-serviceniveau; W-16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Opleverchecklist en opleverdossier-sjabloon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REQ-oplevering; W-09, 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Opleidings- en bekwaamheidsmatrix personeel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REQ-competenties; W-08, 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Contractbeheersplan (PDCA, overlegstructuur)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REQ-sturing; W-15, W-18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Sectie B19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Kruisverband-matrix W-xx ↔ KPI ↔ Risico ↔ Bewijs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Inspectie &amp; conditiemeting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 Datakwaliteit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B7, B8, B9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Preventief onderhoud asfalt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R6 Geluid nacht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B12, B10, B9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Correctief onderhoud asfalt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 Veiligheidsincident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B11, B12, B9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Herprofilering klinkers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 Capaciteitspiek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B10, B12, B9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Voeg-/naadherstel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 Datakwaliteit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B12, B7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 Veiligheid werkvak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B11, B12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KPI-01, 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R5 Zoutvoorraad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B14, B5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Verkeersmaatregelen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R4 Veiligheidsincident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B11, B18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GIS-oplevering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 Datakoppeling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B7, B15, B17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storingsdienst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 Capaciteitspiek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B5, B18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Emissiearm materieel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 Vlootuitval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B6, B4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CO₂-reductieplan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 Vlootuitval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B4, B6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Kwaliteitsborging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KPI-02, KPI-06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 Datakwaliteit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B1, B12, B13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Milieumanagement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KPI-04, KPI-05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R3 Vlootuitval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B2, B4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Planning/fasering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 Capaciteitspiek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B10, B19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Stakeholder/klachten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R6 Geluid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SLA-monitoring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KPI-01–06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R2 Datakwaliteit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B8, B19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SLA/KPI (SMART)</w:t>
      </w:r>
    </w:p>
    <w:p>
      <w:pPr>
        <w:numPr>
          <w:ilvl w:val="0"/>
          <w:numId w:val="1"/>
        </w:numPr>
        <w:spacing w:lineRule="auto"/>
      </w:pPr>
      <w:r>
        <w:rPr/>
        <w:t xml:space="preserve">KPI-01 Responstijd storingen: ≤ 2 uur (24/7), meetpunt: melding in meldsysteem t0 tot aankomst t1, 95-percentiel per maand; bron B5, B8. Check: maandrapport; Act: roosters bijstellen.</w:t>
      </w:r>
    </w:p>
    <w:p>
      <w:pPr>
        <w:numPr>
          <w:ilvl w:val="0"/>
          <w:numId w:val="1"/>
        </w:numPr>
        <w:spacing w:lineRule="auto"/>
      </w:pPr>
      <w:r>
        <w:rPr/>
        <w:t xml:space="preserve">KPI-02 Opleveringen binnen planning: ≥ 95% per kwartaal, definitie: werkbonnen binnen afgesproken venster; bron B10, B12, B8.</w:t>
      </w:r>
    </w:p>
    <w:p>
      <w:pPr>
        <w:numPr>
          <w:ilvl w:val="0"/>
          <w:numId w:val="1"/>
        </w:numPr>
        <w:spacing w:lineRule="auto"/>
      </w:pPr>
      <w:r>
        <w:rPr/>
        <w:t xml:space="preserve">KPI-03 Klanttevredenheid: ≥ 8,0, kwartaalenquête bij opdrachtgever/buurt; N≥30; bron B16, B8.</w:t>
      </w:r>
    </w:p>
    <w:p>
      <w:pPr>
        <w:numPr>
          <w:ilvl w:val="0"/>
          <w:numId w:val="1"/>
        </w:numPr>
        <w:spacing w:lineRule="auto"/>
      </w:pPr>
      <w:r>
        <w:rPr/>
        <w:t xml:space="preserve">KPI-04 CO₂-reductie: ≥ 25% t.o.v. 2024 referentie per 2029; lijn: 2025 10%, 2027 18%, 2029 25%; bron B4, B6.</w:t>
      </w:r>
    </w:p>
    <w:p>
      <w:pPr>
        <w:numPr>
          <w:ilvl w:val="0"/>
          <w:numId w:val="1"/>
        </w:numPr>
        <w:spacing w:lineRule="auto"/>
      </w:pPr>
      <w:r>
        <w:rPr/>
        <w:t xml:space="preserve">KPI-05 Emissiearm materieelinzet: ≥ 90% draaiuren Stage V/ZE in 2025, jaarlijks +2% tot ≥ 98% in 2029; bron B6, B8.</w:t>
      </w:r>
    </w:p>
    <w:p>
      <w:pPr>
        <w:numPr>
          <w:ilvl w:val="0"/>
          <w:numId w:val="1"/>
        </w:numPr>
        <w:spacing w:lineRule="auto"/>
      </w:pPr>
      <w:r>
        <w:rPr/>
        <w:t xml:space="preserve">KPI-06 GIS-oplevering: 100% weekrapportages binnen 5 werkdagen, datavelden compleetheid ≥ 98%; bron B7, B17.</w:t>
      </w:r>
    </w:p>
    <w:p>
      <w:pPr>
        <w:spacing w:lineRule="auto"/>
      </w:pPr>
      <w:r>
        <w:rPr/>
        <w:t xml:space="preserve">Toprisico’s (selectie) en beheersing</w:t>
      </w:r>
    </w:p>
    <w:p>
      <w:pPr>
        <w:numPr>
          <w:ilvl w:val="0"/>
          <w:numId w:val="2"/>
        </w:numPr>
        <w:spacing w:lineRule="auto"/>
      </w:pPr>
      <w:r>
        <w:rPr/>
        <w:t xml:space="preserve">R1 Capaciteitspiek leidt tot overschrijding KPI-01/02. Beheersing: drie-lijns-escalatie, standby-team, partnerpools (CleanRoads NL). Bewijs: B5, B10, B19.</w:t>
      </w:r>
    </w:p>
    <w:p>
      <w:pPr>
        <w:numPr>
          <w:ilvl w:val="0"/>
          <w:numId w:val="2"/>
        </w:numPr>
        <w:spacing w:lineRule="auto"/>
      </w:pPr>
      <w:r>
        <w:rPr/>
        <w:t xml:space="preserve">R2 Datakwaliteit/koppeling GIS onvoldoende. Beheersing: validatieregels, fallback CSV-upload, wekelijkse datakwaliteitscheck. Bewijs: B7, B8, B15.</w:t>
      </w:r>
    </w:p>
    <w:p>
      <w:pPr>
        <w:numPr>
          <w:ilvl w:val="0"/>
          <w:numId w:val="2"/>
        </w:numPr>
        <w:spacing w:lineRule="auto"/>
      </w:pPr>
      <w:r>
        <w:rPr/>
        <w:t xml:space="preserve">R3 Uitval emissiearm materieel. Beheersing: redundantie, onderhoudsvensters, huuropties. Bewijs: B6, B4.</w:t>
      </w:r>
    </w:p>
    <w:p>
      <w:pPr>
        <w:numPr>
          <w:ilvl w:val="0"/>
          <w:numId w:val="2"/>
        </w:numPr>
        <w:spacing w:lineRule="auto"/>
      </w:pPr>
      <w:r>
        <w:rPr/>
        <w:t xml:space="preserve">R4 Veiligheidsincident in werkvak. Beheersing: V&amp;G-plan, toolboxen, interne audits. Bewijs: B11, B18, B13.</w:t>
      </w:r>
    </w:p>
    <w:p>
      <w:pPr>
        <w:numPr>
          <w:ilvl w:val="0"/>
          <w:numId w:val="2"/>
        </w:numPr>
        <w:spacing w:lineRule="auto"/>
      </w:pPr>
      <w:r>
        <w:rPr/>
        <w:t xml:space="preserve">R5 Zoutvoorraad/winterspits. Beheersing: 500 t buffer Lage Weide, leveringscontract, routeprioritering. Bewijs: B14.</w:t>
      </w:r>
    </w:p>
    <w:p>
      <w:pPr>
        <w:numPr>
          <w:ilvl w:val="0"/>
          <w:numId w:val="2"/>
        </w:numPr>
        <w:spacing w:lineRule="auto"/>
      </w:pPr>
      <w:r>
        <w:rPr/>
        <w:t xml:space="preserve">R6 Geluid nachtelijke werkzaamheden. Beheersing: geluidsarm gereedschap, planning, bewonerscommunicatie. Bewijs: B10, B16.</w:t>
      </w:r>
    </w:p>
    <w:p>
      <w:pPr>
        <w:spacing w:lineRule="auto"/>
      </w:pPr>
      <w:r>
        <w:rPr/>
        <w:t xml:space="preserve">Secties (kerninhoud en PDCA)</w:t>
      </w:r>
    </w:p>
    <w:p>
      <w:pPr>
        <w:numPr>
          <w:ilvl w:val="0"/>
          <w:numId w:val="3"/>
        </w:numPr>
        <w:spacing w:lineRule="auto"/>
      </w:pPr>
      <w:r>
        <w:rPr/>
        <w:t xml:space="preserve">Sectie B1 (ISO 9001): certificaat op naam InfraTech Solutions B.V., scope GWW, door geaccrediteerde CI. Plan: ITP’s; Do: procesuitvoering; Check: interne audits; Act: corrigerende maatregelen.</w:t>
      </w:r>
    </w:p>
    <w:p>
      <w:pPr>
        <w:numPr>
          <w:ilvl w:val="0"/>
          <w:numId w:val="3"/>
        </w:numPr>
        <w:spacing w:lineRule="auto"/>
      </w:pPr>
      <w:r>
        <w:rPr/>
        <w:t xml:space="preserve">Sectie B2 (ISO 1401): certificaat milieumanagement. Plan: milieuaspectenregister; Do: emissiearm werken; Check: compliance audits; Act: reductieprogramma’s.</w:t>
      </w:r>
    </w:p>
    <w:p>
      <w:pPr>
        <w:numPr>
          <w:ilvl w:val="0"/>
          <w:numId w:val="3"/>
        </w:numPr>
        <w:spacing w:lineRule="auto"/>
      </w:pPr>
      <w:r>
        <w:rPr/>
        <w:t xml:space="preserve">Sectie B3 (VCA**): veiligheidssysteem; LMRA, TRA en toolbox-structuur beschreven; incidentenregistratie en lessons learned.</w:t>
      </w:r>
    </w:p>
    <w:p>
      <w:pPr>
        <w:numPr>
          <w:ilvl w:val="0"/>
          <w:numId w:val="3"/>
        </w:numPr>
        <w:spacing w:lineRule="auto"/>
      </w:pPr>
      <w:r>
        <w:rPr/>
        <w:t xml:space="preserve">Sectie B4 (CO₂-PL niv.4): energiebaseline 2024, reductielijn en projectspecifieke maatregelen (HVO100 waar elektrisch niet kan, optimalisatie logistiek, warm-asfalt waar specificaties toestaan).</w:t>
      </w:r>
    </w:p>
    <w:p>
      <w:pPr>
        <w:numPr>
          <w:ilvl w:val="0"/>
          <w:numId w:val="3"/>
        </w:numPr>
        <w:spacing w:lineRule="auto"/>
      </w:pPr>
      <w:r>
        <w:rPr/>
        <w:t xml:space="preserve">Sectie B5 (24/7): responsschema, aanrijtijden per wijk, escalatie binnen 15/30/60 min, KPI-rapportage maandelijks.</w:t>
      </w:r>
    </w:p>
    <w:p>
      <w:pPr>
        <w:numPr>
          <w:ilvl w:val="0"/>
          <w:numId w:val="3"/>
        </w:numPr>
        <w:spacing w:lineRule="auto"/>
      </w:pPr>
      <w:r>
        <w:rPr/>
        <w:t xml:space="preserve">Sectie B6 (Materieel): lijst pavers/walsen/vacuüm-units Stage V/elektrisch, inzetstrategie per werksoort, back-up pool.</w:t>
      </w:r>
    </w:p>
    <w:p>
      <w:pPr>
        <w:numPr>
          <w:ilvl w:val="0"/>
          <w:numId w:val="3"/>
        </w:numPr>
        <w:spacing w:lineRule="auto"/>
      </w:pPr>
      <w:r>
        <w:rPr/>
        <w:t xml:space="preserve">Sectie B7 (GIS/rapportage): datahandboek (velden: locatie, wegvak, type ingreep, m2/m1, foto’s, datum/tijd, materieelinzet, CO₂), export naar GeoJSON/CSV, validatie ≥ 98%.</w:t>
      </w:r>
    </w:p>
    <w:p>
      <w:pPr>
        <w:numPr>
          <w:ilvl w:val="0"/>
          <w:numId w:val="3"/>
        </w:numPr>
        <w:spacing w:lineRule="auto"/>
      </w:pPr>
      <w:r>
        <w:rPr/>
        <w:t xml:space="preserve">Sectie B8 (SLA/KPI): meetdefinities, dashboards, steekproefmethode, 95p-rapportage.</w:t>
      </w:r>
    </w:p>
    <w:p>
      <w:pPr>
        <w:numPr>
          <w:ilvl w:val="0"/>
          <w:numId w:val="3"/>
        </w:numPr>
        <w:spacing w:lineRule="auto"/>
      </w:pPr>
      <w:r>
        <w:rPr/>
        <w:t xml:space="preserve">Sectie B9 (Risico): RISMAN-register met eigenaar, kans/impact, maatregel, trigger; update per 4 weken.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B10 (PvA): fasering per wijk, nacht-/dagvensters, eenvoudige Gantt; mijlpalen per kwartaal.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B11 (Verkeersveiligheid): CROW 96b-werkplannen, omleidingen, audits frequentie 1/2 weken.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B12 (Kwaliteit/ITP): hold/witness-points, proefvakken, mengsel- en CE-bewijzen; toleranties en meetmethoden.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B13 (Audits): kalender QMS/EMS, leveranciersbeoordeling, directiebeoordeling 2x/jaar.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B14 (Winterdienst): routekaarten, strooicurves, call-out criteria, communicatieprotocol.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B15 (AVG/IB): DPIA samenvatting, autorisatiematrix, pseudonimisering, TLS in transit, rolverdeling verwerkingsverantwoordelijke/verwerker.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B16 (Stakeholders): klachtenafhandeling ≤ 5 werkdagen, infoflitsen, omgevingsapp.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B17 (Opleverdossier): checklists, fotoregistratie, revisiegegevens, as-built.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B18 (Opleidingen): matrix bevoegdheden (VOL-VCA, BRL’s, verkeersregelaars), jaarlijkse hercertificering.</w:t>
      </w:r>
    </w:p>
    <w:p>
      <w:pPr>
        <w:numPr>
          <w:ilvl w:val="0"/>
          <w:numId w:val="3"/>
        </w:numPr>
        <w:spacing w:lineRule="auto"/>
      </w:pPr>
      <w:r>
        <w:rPr/>
        <w:t xml:space="preserve">Sectie B19 (Contract-PDCA): overlegstructuur (wekelijks operationeel, maandelijks tactisch, per kwartaal strategisch), issue- en wijzigingsbeheer.</w:t>
      </w:r>
    </w:p>
    <w:p>
      <w:pPr>
        <w:spacing w:lineRule="auto"/>
      </w:pPr>
      <w:r>
        <w:rPr/>
        <w:t xml:space="preserve">PDCA-ritme contract</w:t>
      </w:r>
    </w:p>
    <w:p>
      <w:pPr>
        <w:numPr>
          <w:ilvl w:val="0"/>
          <w:numId w:val="4"/>
        </w:numPr>
        <w:spacing w:lineRule="auto"/>
      </w:pPr>
      <w:r>
        <w:rPr/>
        <w:t xml:space="preserve">Plan: PvA (B10), KPI-meetplan (B8), Risicodossier (B9), Veiligheidsplan (B11).</w:t>
      </w:r>
    </w:p>
    <w:p>
      <w:pPr>
        <w:numPr>
          <w:ilvl w:val="0"/>
          <w:numId w:val="4"/>
        </w:numPr>
        <w:spacing w:lineRule="auto"/>
      </w:pPr>
      <w:r>
        <w:rPr/>
        <w:t xml:space="preserve">Do: Uitvoering W-01–W-12 met emissiearm materieel (B6), 24/7 opvolging (B5), GIS-rapportages (B7).</w:t>
      </w:r>
    </w:p>
    <w:p>
      <w:pPr>
        <w:numPr>
          <w:ilvl w:val="0"/>
          <w:numId w:val="4"/>
        </w:numPr>
        <w:spacing w:lineRule="auto"/>
      </w:pPr>
      <w:r>
        <w:rPr/>
        <w:t xml:space="preserve">Check: Maandelijkse SLA-rapportage (B8), audits (B13), werkplekinspecties (B11).</w:t>
      </w:r>
    </w:p>
    <w:p>
      <w:pPr>
        <w:numPr>
          <w:ilvl w:val="0"/>
          <w:numId w:val="4"/>
        </w:numPr>
        <w:spacing w:lineRule="auto"/>
      </w:pPr>
      <w:r>
        <w:rPr/>
        <w:t xml:space="preserve">Act: Verbeteracties en herplanning via contractbeheersplan (B19), lessons learned-sessies per kwartaal.</w:t>
      </w:r>
    </w:p>
    <w:p>
      <w:pPr>
        <w:spacing w:lineRule="auto"/>
      </w:pPr>
      <w:r>
        <w:rPr/>
        <w:t xml:space="preserve">Conformiteit KO/REQ (samenvatting)</w:t>
      </w:r>
    </w:p>
    <w:p>
      <w:pPr>
        <w:numPr>
          <w:ilvl w:val="0"/>
          <w:numId w:val="5"/>
        </w:numPr>
        <w:spacing w:lineRule="auto"/>
      </w:pPr>
      <w:r>
        <w:rPr/>
        <w:t xml:space="preserve">KO ISO 9001: voldaan (B1).</w:t>
      </w:r>
    </w:p>
    <w:p>
      <w:pPr>
        <w:numPr>
          <w:ilvl w:val="0"/>
          <w:numId w:val="5"/>
        </w:numPr>
        <w:spacing w:lineRule="auto"/>
      </w:pPr>
      <w:r>
        <w:rPr/>
        <w:t xml:space="preserve">KO ISO 14001: voldaan (B2).</w:t>
      </w:r>
    </w:p>
    <w:p>
      <w:pPr>
        <w:numPr>
          <w:ilvl w:val="0"/>
          <w:numId w:val="5"/>
        </w:numPr>
        <w:spacing w:lineRule="auto"/>
      </w:pPr>
      <w:r>
        <w:rPr/>
        <w:t xml:space="preserve">Must 24/7 responstijd ≤ 2 uur: geborgd (B5, KPI-01).</w:t>
      </w:r>
    </w:p>
    <w:p>
      <w:pPr>
        <w:numPr>
          <w:ilvl w:val="0"/>
          <w:numId w:val="5"/>
        </w:numPr>
        <w:spacing w:lineRule="auto"/>
      </w:pPr>
      <w:r>
        <w:rPr/>
        <w:t xml:space="preserve">Must emissiearm materieel: geborgd (B6, KPI-05).</w:t>
      </w:r>
    </w:p>
    <w:p>
      <w:pPr>
        <w:numPr>
          <w:ilvl w:val="0"/>
          <w:numId w:val="5"/>
        </w:numPr>
        <w:spacing w:lineRule="auto"/>
      </w:pPr>
      <w:r>
        <w:rPr/>
        <w:t xml:space="preserve">Must digitale weekrapportages via GIS: geborgd (B7, KPI-06).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2025-11-03T21:30:26.855Z</dcterms:created>
  <dcterms:modified xsi:type="dcterms:W3CDTF">2025-11-03T21:30:26.855Z</dcterms:modified>
</cp:coreProperties>
</file>