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Clarificatievragen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NvI – Clarificatievragen voor Onderhoud en verduurzaming gemeentelijke wegen 2025–2029 (ref. UTR-MAINT-2025-041)</w:t>
      </w:r>
    </w:p>
    <w:p>
      <w:pPr>
        <w:spacing w:lineRule="auto"/>
      </w:pPr>
      <w:r>
        <w:rPr/>
        <w:t xml:space="preserve">W-01 Contractvorm en scope-afbakening (werken/diensten/leveringen/raamovereenkomst)</w:t>
      </w:r>
    </w:p>
    <w:p>
      <w:pPr>
        <w:numPr>
          <w:ilvl w:val="0"/>
          <w:numId w:val="1"/>
        </w:numPr>
        <w:spacing w:lineRule="auto"/>
      </w:pPr>
      <w:r>
        <w:rPr/>
        <w:t xml:space="preserve">Vraag: Bevestigt de Gemeente of dit een raamovereenkomst is (met min/max-volume) en welke prestatie-eenheden worden afgenomen (m² asfalt/klinkers, km markering, uur winterdienst)? Graag jaarlijkse bandbreedtes per activiteit 2025–2029.</w:t>
      </w:r>
    </w:p>
    <w:p>
      <w:pPr>
        <w:numPr>
          <w:ilvl w:val="0"/>
          <w:numId w:val="1"/>
        </w:numPr>
        <w:spacing w:lineRule="auto"/>
      </w:pPr>
      <w:r>
        <w:rPr/>
        <w:t xml:space="preserve">Doel (SMART): Voor 30 dagen vóór inschrijving vastleggen: contracttype, indexatie-regime en volumebandbreedte per jaar (±20%), zodat resources en prijsstelling aantoonbaar toereikend zijn.</w:t>
      </w:r>
    </w:p>
    <w:p>
      <w:pPr>
        <w:numPr>
          <w:ilvl w:val="0"/>
          <w:numId w:val="1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"/>
        </w:numPr>
        <w:spacing w:lineRule="auto"/>
      </w:pPr>
      <w:r>
        <w:rPr/>
        <w:t xml:space="preserve">Impact: Hoge invloed op prijs, risicoprofiel en capaciteit; voorkomt meerwerkdiscussies.</w:t>
      </w:r>
    </w:p>
    <w:p>
      <w:pPr>
        <w:numPr>
          <w:ilvl w:val="0"/>
          <w:numId w:val="1"/>
        </w:numPr>
        <w:spacing w:lineRule="auto"/>
      </w:pPr>
      <w:r>
        <w:rPr/>
        <w:t xml:space="preserve">Afhankelijkheden: RAW/Alcatel-voorwaarden, indexen (bitumen, staal), plafondbudgetten.</w:t>
      </w:r>
    </w:p>
    <w:p>
      <w:pPr>
        <w:numPr>
          <w:ilvl w:val="0"/>
          <w:numId w:val="1"/>
        </w:numPr>
        <w:spacing w:lineRule="auto"/>
      </w:pPr>
      <w:r>
        <w:rPr/>
        <w:t xml:space="preserve">Koppeling: W-01 ↔ KPI Opleveringen binnen planning ≥95% ↔ Risico R-01 (volumeoverschrijding leidt tot vertraging/claims) ↔ Bewijs: concept-contract, volumereeksen 2019–2024, indexatieclausules.</w:t>
      </w:r>
    </w:p>
    <w:p>
      <w:pPr>
        <w:numPr>
          <w:ilvl w:val="0"/>
          <w:numId w:val="1"/>
        </w:numPr>
        <w:spacing w:lineRule="auto"/>
      </w:pPr>
      <w:r>
        <w:rPr/>
        <w:t xml:space="preserve">PDCA: Plan op basis van volumes; Do resource-allocatie; Check maandelijkse verbruiksmonitor; Act bijsturen via call-offs.</w:t>
      </w:r>
    </w:p>
    <w:p>
      <w:pPr>
        <w:spacing w:lineRule="auto"/>
      </w:pPr>
      <w:r>
        <w:rPr/>
        <w:t xml:space="preserve">W-02 Asset-inzicht en areaalgrenzen + winterdienst-triggers</w:t>
      </w:r>
    </w:p>
    <w:p>
      <w:pPr>
        <w:numPr>
          <w:ilvl w:val="0"/>
          <w:numId w:val="2"/>
        </w:numPr>
        <w:spacing w:lineRule="auto"/>
      </w:pPr>
      <w:r>
        <w:rPr/>
        <w:t xml:space="preserve">Vraag: Welke wegen/kruispunten vallen exact binnen scope (GIS-shapefiles, areaalboek, wegtypen, verkeersintensiteiten)? Wat zijn winterdienst-triggers (gladheidsmeldsysteem, drempelwaarden, strooiroutes, opkomst- en uitruktijden)?</w:t>
      </w:r>
    </w:p>
    <w:p>
      <w:pPr>
        <w:numPr>
          <w:ilvl w:val="0"/>
          <w:numId w:val="2"/>
        </w:numPr>
        <w:spacing w:lineRule="auto"/>
      </w:pPr>
      <w:r>
        <w:rPr/>
        <w:t xml:space="preserve">Doel (SMART): Uiterlijk T-6 weken: complete areaaldatasets en winterdienstprotocol met drempelwaarden (bijv. wegdektemp ≤ 0°C, vocht &gt; 80%) en routeprioriteiten (A/B/C).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Dimensionering strooimiddelen, zoutvoorraad, monteurs en ploegen; beïnvloedt KPI responstijd.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Toegang gemeentelijk gladheidmeldsysteem, RWIS-data.</w:t>
      </w:r>
    </w:p>
    <w:p>
      <w:pPr>
        <w:numPr>
          <w:ilvl w:val="0"/>
          <w:numId w:val="2"/>
        </w:numPr>
        <w:spacing w:lineRule="auto"/>
      </w:pPr>
      <w:r>
        <w:rPr/>
        <w:t xml:space="preserve">Koppeling: W-02 ↔ KPI Responstijd ≤2u ↔ Risico R-02 (onderschat areaal → SLA-falen) ↔ Bewijs: GIS-shapefiles, routeboek, historische inzetcijfers.</w:t>
      </w:r>
    </w:p>
    <w:p>
      <w:pPr>
        <w:numPr>
          <w:ilvl w:val="0"/>
          <w:numId w:val="2"/>
        </w:numPr>
        <w:spacing w:lineRule="auto"/>
      </w:pPr>
      <w:r>
        <w:rPr/>
        <w:t xml:space="preserve">PDCA: Plan routes; Do proefstrooien; Check reistijden; Act route-optimalisatie.</w:t>
      </w:r>
    </w:p>
    <w:p>
      <w:pPr>
        <w:spacing w:lineRule="auto"/>
      </w:pPr>
      <w:r>
        <w:rPr/>
        <w:t xml:space="preserve">W-03 Definities “emissiearm materieel” en CO₂-reductie-eisen</w:t>
      </w:r>
    </w:p>
    <w:p>
      <w:pPr>
        <w:numPr>
          <w:ilvl w:val="0"/>
          <w:numId w:val="3"/>
        </w:numPr>
        <w:spacing w:lineRule="auto"/>
      </w:pPr>
      <w:r>
        <w:rPr/>
        <w:t xml:space="preserve">Vraag: Welke minimale emissienormen gelden per machineklasse (Stage V, ZE, HVO100) en per jaar (2025–2029)? Wordt percentage ZE-uren of CO₂-reductie per fte/omzet vereist? Zijn biobrandstoffen toegestaan en hoe wordt M&amp;V uitgevoerd?</w:t>
      </w:r>
    </w:p>
    <w:p>
      <w:pPr>
        <w:numPr>
          <w:ilvl w:val="0"/>
          <w:numId w:val="3"/>
        </w:numPr>
        <w:spacing w:lineRule="auto"/>
      </w:pPr>
      <w:r>
        <w:rPr/>
        <w:t xml:space="preserve">Doel (SMART): Voor contractstart vastleggen norm per categorie en meetmethode (brandstoflog/API telemetrie) met jaarlijkse target (bijv. ≥50% ZE-uren in 2027).</w:t>
      </w:r>
    </w:p>
    <w:p>
      <w:pPr>
        <w:numPr>
          <w:ilvl w:val="0"/>
          <w:numId w:val="3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3"/>
        </w:numPr>
        <w:spacing w:lineRule="auto"/>
      </w:pPr>
      <w:r>
        <w:rPr/>
        <w:t xml:space="preserve">Impact: Investeringsbeslissingen, planning vervangingsmaterieel, CO₂-footprint en EMVI-score.</w:t>
      </w:r>
    </w:p>
    <w:p>
      <w:pPr>
        <w:numPr>
          <w:ilvl w:val="0"/>
          <w:numId w:val="3"/>
        </w:numPr>
        <w:spacing w:lineRule="auto"/>
      </w:pPr>
      <w:r>
        <w:rPr/>
        <w:t xml:space="preserve">Afhankelijkheden: Laadinfrastructuur op gemeentelijke locaties.</w:t>
      </w:r>
    </w:p>
    <w:p>
      <w:pPr>
        <w:numPr>
          <w:ilvl w:val="0"/>
          <w:numId w:val="3"/>
        </w:numPr>
        <w:spacing w:lineRule="auto"/>
      </w:pPr>
      <w:r>
        <w:rPr/>
        <w:t xml:space="preserve">Koppeling: W-03 ↔ KPI Klanttevredenheid ≥8,0 (minder hinder/geluid) en interne CO₂-KPI ↔ Risico R-03 (niet voldoen → uitsluiting/boete) ↔ Bewijs: Emissie-eisendocument, M&amp;V-protocol, PSL4-verificatie.</w:t>
      </w:r>
    </w:p>
    <w:p>
      <w:pPr>
        <w:numPr>
          <w:ilvl w:val="0"/>
          <w:numId w:val="3"/>
        </w:numPr>
        <w:spacing w:lineRule="auto"/>
      </w:pPr>
      <w:r>
        <w:rPr/>
        <w:t xml:space="preserve">PDCA: Plan vloottransitie; Do ZE-inzet; Check CO₂-dashboard; Act versnellen/mitigeren.</w:t>
      </w:r>
    </w:p>
    <w:p>
      <w:pPr>
        <w:spacing w:lineRule="auto"/>
      </w:pPr>
      <w:r>
        <w:rPr/>
        <w:t xml:space="preserve">W-04 24/7 storingsdienst en meetsystematiek responstijd</w:t>
      </w:r>
    </w:p>
    <w:p>
      <w:pPr>
        <w:numPr>
          <w:ilvl w:val="0"/>
          <w:numId w:val="4"/>
        </w:numPr>
        <w:spacing w:lineRule="auto"/>
      </w:pPr>
      <w:r>
        <w:rPr/>
        <w:t xml:space="preserve">Vraag: Wat is het meetpunt voor “≤2 uur” (melding ontvangen tot aankomst ter plaatse)? Geldt dit 24/7 voor hele gemeente inclusief randgebieden/werkterreinen? Hoe wordt overlap bij meerdere gelijktijdige incidenten gewogen en wat is de sanctie/bonus-malus?</w:t>
      </w:r>
    </w:p>
    <w:p>
      <w:pPr>
        <w:numPr>
          <w:ilvl w:val="0"/>
          <w:numId w:val="4"/>
        </w:numPr>
        <w:spacing w:lineRule="auto"/>
      </w:pPr>
      <w:r>
        <w:rPr/>
        <w:t xml:space="preserve">Doel (SMART): Voor gunning: uniforme SLA-definitie, geo-grenzen, escalatiepad en boeteregeling; rapportageformat per week.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Bezettingsgraad piket, stand-bykosten, logistiek.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Meldkamer/telefoonnummer, prioriteitsniveaus (P1–P3).</w:t>
      </w:r>
    </w:p>
    <w:p>
      <w:pPr>
        <w:numPr>
          <w:ilvl w:val="0"/>
          <w:numId w:val="4"/>
        </w:numPr>
        <w:spacing w:lineRule="auto"/>
      </w:pPr>
      <w:r>
        <w:rPr/>
        <w:t xml:space="preserve">Koppeling: W-04 ↔ KPI Responstijd ≤2u ↔ Risico R-04 (interpretatieverschil → discussies/claims) ↔ Bewijs: SLA-bijlage, voorbeeld-rapportage, storingsprocesflow.</w:t>
      </w:r>
    </w:p>
    <w:p>
      <w:pPr>
        <w:numPr>
          <w:ilvl w:val="0"/>
          <w:numId w:val="4"/>
        </w:numPr>
        <w:spacing w:lineRule="auto"/>
      </w:pPr>
      <w:r>
        <w:rPr/>
        <w:t xml:space="preserve">PDCA: Plan bezetting; Do SLA-uitvoering; Check responstijden; Act capaciteitsbijstelling.</w:t>
      </w:r>
    </w:p>
    <w:p>
      <w:pPr>
        <w:spacing w:lineRule="auto"/>
      </w:pPr>
      <w:r>
        <w:rPr/>
        <w:t xml:space="preserve">W-05 Verkeersmaatregelen: verantwoordelijkheden, normen en venstertijden</w:t>
      </w:r>
    </w:p>
    <w:p>
      <w:pPr>
        <w:numPr>
          <w:ilvl w:val="0"/>
          <w:numId w:val="5"/>
        </w:numPr>
        <w:spacing w:lineRule="auto"/>
      </w:pPr>
      <w:r>
        <w:rPr/>
        <w:t xml:space="preserve">Vraag: Bevestig eisen CROW 96a/96b, noodzaak verkeersplannen/vergunningen door opdrachtnemer of opdrachtgever, en toegestane werktijden/venstertijden (dag/avond/nacht) per wegtype.</w:t>
      </w:r>
    </w:p>
    <w:p>
      <w:pPr>
        <w:numPr>
          <w:ilvl w:val="0"/>
          <w:numId w:val="5"/>
        </w:numPr>
        <w:spacing w:lineRule="auto"/>
      </w:pPr>
      <w:r>
        <w:rPr/>
        <w:t xml:space="preserve">Doel (SMART): Uiterlijk T-4 weken per werkvak goedgekeurd VT-plan; doorlooptijd vergunningen ≤10 werkdagen.</w:t>
      </w:r>
    </w:p>
    <w:p>
      <w:pPr>
        <w:numPr>
          <w:ilvl w:val="0"/>
          <w:numId w:val="5"/>
        </w:numPr>
        <w:spacing w:lineRule="auto"/>
      </w:pPr>
      <w:r>
        <w:rPr/>
        <w:t xml:space="preserve">Prioriteit: Midden</w:t>
      </w:r>
    </w:p>
    <w:p>
      <w:pPr>
        <w:numPr>
          <w:ilvl w:val="0"/>
          <w:numId w:val="5"/>
        </w:numPr>
        <w:spacing w:lineRule="auto"/>
      </w:pPr>
      <w:r>
        <w:rPr/>
        <w:t xml:space="preserve">Impact: Werkvoorbereiding, doorlooptijd, omgevingshinder.</w:t>
      </w:r>
    </w:p>
    <w:p>
      <w:pPr>
        <w:numPr>
          <w:ilvl w:val="0"/>
          <w:numId w:val="5"/>
        </w:numPr>
        <w:spacing w:lineRule="auto"/>
      </w:pPr>
      <w:r>
        <w:rPr/>
        <w:t xml:space="preserve">Afhankelijkheden: Toestemming wegbeheerder/politie/OV-concessiehouder.</w:t>
      </w:r>
    </w:p>
    <w:p>
      <w:pPr>
        <w:numPr>
          <w:ilvl w:val="0"/>
          <w:numId w:val="5"/>
        </w:numPr>
        <w:spacing w:lineRule="auto"/>
      </w:pPr>
      <w:r>
        <w:rPr/>
        <w:t xml:space="preserve">Koppeling: W-05 ↔ KPI Opleveringen binnen planning ≥95% ↔ Risico R-05 (afkeuring VT-plan → vertraging) ↔ Bewijs: VT-templates, doorlooptijdkaders, contactpunten.</w:t>
      </w:r>
    </w:p>
    <w:p>
      <w:pPr>
        <w:numPr>
          <w:ilvl w:val="0"/>
          <w:numId w:val="5"/>
        </w:numPr>
        <w:spacing w:lineRule="auto"/>
      </w:pPr>
      <w:r>
        <w:rPr/>
        <w:t xml:space="preserve">PDCA: Plan VT; Do plaatsing; Check audits; Act bijsturen layout.</w:t>
      </w:r>
    </w:p>
    <w:p>
      <w:pPr>
        <w:spacing w:lineRule="auto"/>
      </w:pPr>
      <w:r>
        <w:rPr/>
        <w:t xml:space="preserve">W-06 Digitale weekrapportages via GIS-portaal</w:t>
      </w:r>
    </w:p>
    <w:p>
      <w:pPr>
        <w:numPr>
          <w:ilvl w:val="0"/>
          <w:numId w:val="6"/>
        </w:numPr>
        <w:spacing w:lineRule="auto"/>
      </w:pPr>
      <w:r>
        <w:rPr/>
        <w:t xml:space="preserve">Vraag: Lever API-specificaties, datamodel (velden, CRS, validaties), toegangsprotocollen (OAuth/2FA), testomgeving en acceptatiecriteria voor digitale oplevering (foto-eisen, geotagging, tijdstempels).</w:t>
      </w:r>
    </w:p>
    <w:p>
      <w:pPr>
        <w:numPr>
          <w:ilvl w:val="0"/>
          <w:numId w:val="6"/>
        </w:numPr>
        <w:spacing w:lineRule="auto"/>
      </w:pPr>
      <w:r>
        <w:rPr/>
        <w:t xml:space="preserve">Doel (SMART): T-8 weken sandbox-toegang; 100% valide datalevering in week 4 na start.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IT-koppeling, datakwaliteit, rapportage-effort.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Gemeentelijke GIS-beheer, dataprotocollen, AVG.</w:t>
      </w:r>
    </w:p>
    <w:p>
      <w:pPr>
        <w:numPr>
          <w:ilvl w:val="0"/>
          <w:numId w:val="6"/>
        </w:numPr>
        <w:spacing w:lineRule="auto"/>
      </w:pPr>
      <w:r>
        <w:rPr/>
        <w:t xml:space="preserve">Koppeling: W-06 ↔ KPI Opleveringen binnen planning ≥95% (administratief) ↔ Risico R-06 (afkeuring data → betalingsvertraging) ↔ Bewijs: API-docs, datadictionary, testcases.</w:t>
      </w:r>
    </w:p>
    <w:p>
      <w:pPr>
        <w:numPr>
          <w:ilvl w:val="0"/>
          <w:numId w:val="6"/>
        </w:numPr>
        <w:spacing w:lineRule="auto"/>
      </w:pPr>
      <w:r>
        <w:rPr/>
        <w:t xml:space="preserve">PDCA: Plan mapping; Do integratie; Check validaties; Act correcties.</w:t>
      </w:r>
    </w:p>
    <w:p>
      <w:pPr>
        <w:spacing w:lineRule="auto"/>
      </w:pPr>
      <w:r>
        <w:rPr/>
        <w:t xml:space="preserve">W-07 Kwaliteitsborging en acceptatie-eisen (ITP, testen, tolerantie)</w:t>
      </w:r>
    </w:p>
    <w:p>
      <w:pPr>
        <w:numPr>
          <w:ilvl w:val="0"/>
          <w:numId w:val="7"/>
        </w:numPr>
        <w:spacing w:lineRule="auto"/>
      </w:pPr>
      <w:r>
        <w:rPr/>
        <w:t xml:space="preserve">Vraag: Welke prestatie-eisen gelden voor asfalt/klinkers (vlakheid, stroefheid, textuur, voegvulling), markering (retroreflectie RL/Qd), en welke testfrequenties/acceptatiecriteria hanteert de Gemeente? Zijn proefvakken verplicht?</w:t>
      </w:r>
    </w:p>
    <w:p>
      <w:pPr>
        <w:numPr>
          <w:ilvl w:val="0"/>
          <w:numId w:val="7"/>
        </w:numPr>
        <w:spacing w:lineRule="auto"/>
      </w:pPr>
      <w:r>
        <w:rPr/>
        <w:t xml:space="preserve">Doel (SMART): T-2 weken per werkvak: goedgekeurd ITP en meetplan; ≥95% eerste-keur acceptaties.</w:t>
      </w:r>
    </w:p>
    <w:p>
      <w:pPr>
        <w:numPr>
          <w:ilvl w:val="0"/>
          <w:numId w:val="7"/>
        </w:numPr>
        <w:spacing w:lineRule="auto"/>
      </w:pPr>
      <w:r>
        <w:rPr/>
        <w:t xml:space="preserve">Prioriteit: Midden</w:t>
      </w:r>
    </w:p>
    <w:p>
      <w:pPr>
        <w:numPr>
          <w:ilvl w:val="0"/>
          <w:numId w:val="7"/>
        </w:numPr>
        <w:spacing w:lineRule="auto"/>
      </w:pPr>
      <w:r>
        <w:rPr/>
        <w:t xml:space="preserve">Impact: Kwaliteit, faalkosten, planning.</w:t>
      </w:r>
    </w:p>
    <w:p>
      <w:pPr>
        <w:numPr>
          <w:ilvl w:val="0"/>
          <w:numId w:val="7"/>
        </w:numPr>
        <w:spacing w:lineRule="auto"/>
      </w:pPr>
      <w:r>
        <w:rPr/>
        <w:t xml:space="preserve">Afhankelijkheden: Toetsingslaboratoria, RAW-2020/2022 bepalingen.</w:t>
      </w:r>
    </w:p>
    <w:p>
      <w:pPr>
        <w:numPr>
          <w:ilvl w:val="0"/>
          <w:numId w:val="7"/>
        </w:numPr>
        <w:spacing w:lineRule="auto"/>
      </w:pPr>
      <w:r>
        <w:rPr/>
        <w:t xml:space="preserve">Koppeling: W-07 ↔ KPI Klanttevredenheid ≥8,0 ↔ Risico R-07 (herstelkosten bij afkeur) ↔ Bewijs: Technische specificaties, acceptatiechecklists, meetnormen (NEN/EN).</w:t>
      </w:r>
    </w:p>
    <w:p>
      <w:pPr>
        <w:numPr>
          <w:ilvl w:val="0"/>
          <w:numId w:val="7"/>
        </w:numPr>
        <w:spacing w:lineRule="auto"/>
      </w:pPr>
      <w:r>
        <w:rPr/>
        <w:t xml:space="preserve">PDCA: Plan ITP; Do kwaliteitscontroles; Check resultaten; Act corrigerend.</w:t>
      </w:r>
    </w:p>
    <w:p>
      <w:pPr>
        <w:spacing w:lineRule="auto"/>
      </w:pPr>
      <w:r>
        <w:rPr/>
        <w:t xml:space="preserve">W-08 Garantie-, onderhoudstermijn en startmoment garantie</w:t>
      </w:r>
    </w:p>
    <w:p>
      <w:pPr>
        <w:numPr>
          <w:ilvl w:val="0"/>
          <w:numId w:val="8"/>
        </w:numPr>
        <w:spacing w:lineRule="auto"/>
      </w:pPr>
      <w:r>
        <w:rPr/>
        <w:t xml:space="preserve">Vraag: Bevestig garantieduur per object (12 maanden genoemd) en het startmoment (deeloplevering per WO of projectoplevering?). Geldt onderhoudsplicht tijdens garantie (bijv. scheurvorming/zetting)?</w:t>
      </w:r>
    </w:p>
    <w:p>
      <w:pPr>
        <w:numPr>
          <w:ilvl w:val="0"/>
          <w:numId w:val="8"/>
        </w:numPr>
        <w:spacing w:lineRule="auto"/>
      </w:pPr>
      <w:r>
        <w:rPr/>
        <w:t xml:space="preserve">Doel (SMART): Contractueel vastleggen garantie- en onderhoudsverplichtingen per werkorder voor eenduidige aansprakelijkheid.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Midden</w:t>
      </w:r>
    </w:p>
    <w:p>
      <w:pPr>
        <w:numPr>
          <w:ilvl w:val="0"/>
          <w:numId w:val="8"/>
        </w:numPr>
        <w:spacing w:lineRule="auto"/>
      </w:pPr>
      <w:r>
        <w:rPr/>
        <w:t xml:space="preserve">Impact: Risicoreservering, cashflow, planning nazorg.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Opleverprotocol, deellocaties.</w:t>
      </w:r>
    </w:p>
    <w:p>
      <w:pPr>
        <w:numPr>
          <w:ilvl w:val="0"/>
          <w:numId w:val="8"/>
        </w:numPr>
        <w:spacing w:lineRule="auto"/>
      </w:pPr>
      <w:r>
        <w:rPr/>
        <w:t xml:space="preserve">Koppeling: W-08 ↔ KPI Opleveringen binnen planning ≥95% (herstelimpact) ↔ Risico R-08 (onduidelijke start garantie → claims) ↔ Bewijs: Garantieclausule, opleverdossierformat.</w:t>
      </w:r>
    </w:p>
    <w:p>
      <w:pPr>
        <w:numPr>
          <w:ilvl w:val="0"/>
          <w:numId w:val="8"/>
        </w:numPr>
        <w:spacing w:lineRule="auto"/>
      </w:pPr>
      <w:r>
        <w:rPr/>
        <w:t xml:space="preserve">PDCA: Plan oplevermoment; Do overdracht; Check claims; Act lessons learned.</w:t>
      </w:r>
    </w:p>
    <w:p>
      <w:pPr>
        <w:spacing w:lineRule="auto"/>
      </w:pPr>
      <w:r>
        <w:rPr/>
        <w:t xml:space="preserve">W-09 Prijsmechanismen, indexering en onvoorziene omstandigheden</w:t>
      </w:r>
    </w:p>
    <w:p>
      <w:pPr>
        <w:numPr>
          <w:ilvl w:val="0"/>
          <w:numId w:val="9"/>
        </w:numPr>
        <w:spacing w:lineRule="auto"/>
      </w:pPr>
      <w:r>
        <w:rPr/>
        <w:t xml:space="preserve">Vraag: Welke indexering geldt (bitumen/RAW-index), frequentie en verrekenmechanismen? Hoe worden onvoorziene zaken (kabels/leidingen, verontreiniging, archeologie, extreem weer) contractueel belegd?</w:t>
      </w:r>
    </w:p>
    <w:p>
      <w:pPr>
        <w:numPr>
          <w:ilvl w:val="0"/>
          <w:numId w:val="9"/>
        </w:numPr>
        <w:spacing w:lineRule="auto"/>
      </w:pPr>
      <w:r>
        <w:rPr/>
        <w:t xml:space="preserve">Doel (SMART): Voor gunning: helder verrekeningskader en drempelwaarden (bijv. &gt;10% prijsafwijking → herziening).</w:t>
      </w:r>
    </w:p>
    <w:p>
      <w:pPr>
        <w:numPr>
          <w:ilvl w:val="0"/>
          <w:numId w:val="9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9"/>
        </w:numPr>
        <w:spacing w:lineRule="auto"/>
      </w:pPr>
      <w:r>
        <w:rPr/>
        <w:t xml:space="preserve">Impact: Financieel risico en biedstrategie.</w:t>
      </w:r>
    </w:p>
    <w:p>
      <w:pPr>
        <w:numPr>
          <w:ilvl w:val="0"/>
          <w:numId w:val="9"/>
        </w:numPr>
        <w:spacing w:lineRule="auto"/>
      </w:pPr>
      <w:r>
        <w:rPr/>
        <w:t xml:space="preserve">Afhankelijkheden: Contractvoorwaarden, RAW/UGA-bepalingen.</w:t>
      </w:r>
    </w:p>
    <w:p>
      <w:pPr>
        <w:numPr>
          <w:ilvl w:val="0"/>
          <w:numId w:val="9"/>
        </w:numPr>
        <w:spacing w:lineRule="auto"/>
      </w:pPr>
      <w:r>
        <w:rPr/>
        <w:t xml:space="preserve">Koppeling: W-09 ↔ KPI Opleveringen binnen planning ≥95% ↔ Risico R-09 (stopzetten werk bij vondsten) ↔ Bewijs: Verreken- en indexatiebijlage, risicoverdelingstabel.</w:t>
      </w:r>
    </w:p>
    <w:p>
      <w:pPr>
        <w:numPr>
          <w:ilvl w:val="0"/>
          <w:numId w:val="9"/>
        </w:numPr>
        <w:spacing w:lineRule="auto"/>
      </w:pPr>
      <w:r>
        <w:rPr/>
        <w:t xml:space="preserve">PDCA: Plan risicoreservering; Do toepassing; Check afwijkingen; Act herzien.</w:t>
      </w:r>
    </w:p>
    <w:p>
      <w:pPr>
        <w:spacing w:lineRule="auto"/>
      </w:pPr>
      <w:r>
        <w:rPr/>
        <w:t xml:space="preserve">W-10 EMVI-beoordeling: subcriteria, “what good looks like” en paginalimieten</w:t>
      </w:r>
    </w:p>
    <w:p>
      <w:pPr>
        <w:numPr>
          <w:ilvl w:val="0"/>
          <w:numId w:val="10"/>
        </w:numPr>
        <w:spacing w:lineRule="auto"/>
      </w:pPr>
      <w:r>
        <w:rPr/>
        <w:t xml:space="preserve">Vraag: Kunt u “what good looks like” per criterium invullen, sub-wegingsfactoren, en verduidelijken of de max. 6 pagina’s alleen voor Plan van Aanpak geldt of per deelplan (PvA, CO₂, Risico, KPI)? Welke bijlagen tellen niet mee (planningen, referenties, ITP’s)?</w:t>
      </w:r>
    </w:p>
    <w:p>
      <w:pPr>
        <w:numPr>
          <w:ilvl w:val="0"/>
          <w:numId w:val="10"/>
        </w:numPr>
        <w:spacing w:lineRule="auto"/>
      </w:pPr>
      <w:r>
        <w:rPr/>
        <w:t xml:space="preserve">Doel (SMART): Voor T-21 dagen: definitieve beoordelingsleidraad met scoringsmethodiek (lineair/relatief) en bewijsvoeringseisen.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0"/>
        </w:numPr>
        <w:spacing w:lineRule="auto"/>
      </w:pPr>
      <w:r>
        <w:rPr/>
        <w:t xml:space="preserve">Impact: EMVI-strategie en bewijsselectie; direct effect op score.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Inschrijvingsleidraad.</w:t>
      </w:r>
    </w:p>
    <w:p>
      <w:pPr>
        <w:numPr>
          <w:ilvl w:val="0"/>
          <w:numId w:val="10"/>
        </w:numPr>
        <w:spacing w:lineRule="auto"/>
      </w:pPr>
      <w:r>
        <w:rPr/>
        <w:t xml:space="preserve">Koppeling: W-10 ↔ KPI Klanttevredenheid ≥8,0 (kwaliteit leveringsstrategie) ↔ Risico R-10 (suboptimale focus → lagere score) ↔ Bewijs: Beoordelingsleidraad, paginaregels.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W-01: Bevestiging contractvorm (raamovereenkomst ja/nee), min/max volumes per jaar (m² asfalt/klinkers, km markering, uren winterdienst), indexatieclausules en plafondbudgetten.</w:t>
      </w:r>
    </w:p>
    <w:p>
      <w:pPr>
        <w:numPr>
          <w:ilvl w:val="0"/>
          <w:numId w:val="11"/>
        </w:numPr>
        <w:spacing w:lineRule="auto"/>
      </w:pPr>
      <w:r>
        <w:rPr/>
        <w:t xml:space="preserve">W-02: Volledige GIS-shapefiles/areaalboek met grenzen en wegtypen, winterdienstprotocol (triggers, routes, opkomst- en uitruktijden), historische inzetdata.</w:t>
      </w:r>
    </w:p>
    <w:p>
      <w:pPr>
        <w:numPr>
          <w:ilvl w:val="0"/>
          <w:numId w:val="11"/>
        </w:numPr>
        <w:spacing w:lineRule="auto"/>
      </w:pPr>
      <w:r>
        <w:rPr/>
        <w:t xml:space="preserve">W-03: Formele emissie-eisen per machineklasse/jaar, acceptatie biobrandstoffen (HVO100), ZE-uurdoelen en M&amp;V-protocol.</w:t>
      </w:r>
    </w:p>
    <w:p>
      <w:pPr>
        <w:numPr>
          <w:ilvl w:val="0"/>
          <w:numId w:val="11"/>
        </w:numPr>
        <w:spacing w:lineRule="auto"/>
      </w:pPr>
      <w:r>
        <w:rPr/>
        <w:t xml:space="preserve">W-04: Definitie responstijd (meetpunt), geografische reikwijdte SLA, prioriteitsniveaus en bonus-malus/sanctieregime, meldproces en contactpunten.</w:t>
      </w:r>
    </w:p>
    <w:p>
      <w:pPr>
        <w:numPr>
          <w:ilvl w:val="0"/>
          <w:numId w:val="11"/>
        </w:numPr>
        <w:spacing w:lineRule="auto"/>
      </w:pPr>
      <w:r>
        <w:rPr/>
        <w:t xml:space="preserve">W-05: Normen en verantwoordelijkheden voor verkeersmaatregelen (CROW 96a/96b), vergunningproces en venstertijden per wegtype.</w:t>
      </w:r>
    </w:p>
    <w:p>
      <w:pPr>
        <w:numPr>
          <w:ilvl w:val="0"/>
          <w:numId w:val="11"/>
        </w:numPr>
        <w:spacing w:lineRule="auto"/>
      </w:pPr>
      <w:r>
        <w:rPr/>
        <w:t xml:space="preserve">W-06: API-specificaties, datamodel en validatieregels van GIS-portaal, sandbox-toegang, beveiligingseisen (OAuth/2FA), acceptatiecriteria voor digitale oplevering.</w:t>
      </w:r>
    </w:p>
    <w:p>
      <w:pPr>
        <w:numPr>
          <w:ilvl w:val="0"/>
          <w:numId w:val="11"/>
        </w:numPr>
        <w:spacing w:lineRule="auto"/>
      </w:pPr>
      <w:r>
        <w:rPr/>
        <w:t xml:space="preserve">W-07: Technische acceptatie-eisen en testfrequenties (asfalt/klinkers/markering), verplichte proefvakken, referentienormen (NEN/EN/RAW).</w:t>
      </w:r>
    </w:p>
    <w:p>
      <w:pPr>
        <w:numPr>
          <w:ilvl w:val="0"/>
          <w:numId w:val="11"/>
        </w:numPr>
        <w:spacing w:lineRule="auto"/>
      </w:pPr>
      <w:r>
        <w:rPr/>
        <w:t xml:space="preserve">W-08: Garantieclausule met startmoment per werkorder/deeloplevering en onderhoudsverplichtingen tijdens garantie.</w:t>
      </w:r>
    </w:p>
    <w:p>
      <w:pPr>
        <w:numPr>
          <w:ilvl w:val="0"/>
          <w:numId w:val="11"/>
        </w:numPr>
        <w:spacing w:lineRule="auto"/>
      </w:pPr>
      <w:r>
        <w:rPr/>
        <w:t xml:space="preserve">W-09: Indexeringsmethodiek (RAW/bitumen), verrekenmechanismen en risicoverdeling voor onvoorziene omstandigheden (K&amp;L, bodem, archeologie, extreem weer).</w:t>
      </w:r>
    </w:p>
    <w:p>
      <w:pPr>
        <w:numPr>
          <w:ilvl w:val="0"/>
          <w:numId w:val="11"/>
        </w:numPr>
        <w:spacing w:lineRule="auto"/>
      </w:pPr>
      <w:r>
        <w:rPr/>
        <w:t xml:space="preserve">W-10: Definitieve EMVI-beoordelingsleidraad, subcriteria en “what good looks like”, toepassing paginalimiet (6) en uitzonderingen voor bijlagen.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