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README_lees_mij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README — Onderhoud en verduurzaming gemeentelijke wegen 2025–2029 (UTR-MAINT-2025-041)</w:t>
      </w:r>
    </w:p>
    <w:p>
      <w:pPr>
        <w:spacing w:lineRule="auto"/>
      </w:pPr>
      <w:r>
        <w:rPr/>
        <w:t xml:space="preserve">Doel van dit pakket</w:t>
      </w:r>
    </w:p>
    <w:p>
      <w:pPr>
        <w:numPr>
          <w:ilvl w:val="0"/>
          <w:numId w:val="1"/>
        </w:numPr>
        <w:spacing w:lineRule="auto"/>
      </w:pPr>
      <w:r>
        <w:rPr/>
        <w:t xml:space="preserve">Eenduidig en volledig EMVI-bundel voor Gemeente Utrecht, conform KO-eisen en musts.</w:t>
      </w:r>
    </w:p>
    <w:p>
      <w:pPr>
        <w:numPr>
          <w:ilvl w:val="0"/>
          <w:numId w:val="1"/>
        </w:numPr>
        <w:spacing w:lineRule="auto"/>
      </w:pPr>
      <w:r>
        <w:rPr/>
        <w:t xml:space="preserve">PDCA-gestuurd plan voor preventief en correctief wegonderhoud incl. verduurzaming en verkeersveiligheid.</w:t>
      </w:r>
    </w:p>
    <w:p>
      <w:pPr>
        <w:numPr>
          <w:ilvl w:val="0"/>
          <w:numId w:val="1"/>
        </w:numPr>
        <w:spacing w:lineRule="auto"/>
      </w:pPr>
      <w:r>
        <w:rPr/>
        <w:t xml:space="preserve">Traceerbare koppeling tussen werkzaamheden, KPI’s/SLA’s, risico’s en bewijslast.</w:t>
      </w:r>
    </w:p>
    <w:p>
      <w:pPr>
        <w:spacing w:lineRule="auto"/>
      </w:pPr>
      <w:r>
        <w:rPr/>
        <w:t xml:space="preserve">Kern van de uitvraag (samenvatting)</w:t>
      </w:r>
    </w:p>
    <w:p>
      <w:pPr>
        <w:numPr>
          <w:ilvl w:val="0"/>
          <w:numId w:val="2"/>
        </w:numPr>
        <w:spacing w:lineRule="auto"/>
      </w:pPr>
      <w:r>
        <w:rPr/>
        <w:t xml:space="preserve">Scope: inspectie, herstel, herprofilering, voegvulling, markering, winterdienst; digitale weekrapportages via gemeentelijk GIS-portaal; inzet emissiearm materieel; CO₂-reductieplan.</w:t>
      </w:r>
    </w:p>
    <w:p>
      <w:pPr>
        <w:numPr>
          <w:ilvl w:val="0"/>
          <w:numId w:val="2"/>
        </w:numPr>
        <w:spacing w:lineRule="auto"/>
      </w:pPr>
      <w:r>
        <w:rPr/>
        <w:t xml:space="preserve">KO: ISO 9001, ISO 14001.</w:t>
      </w:r>
    </w:p>
    <w:p>
      <w:pPr>
        <w:numPr>
          <w:ilvl w:val="0"/>
          <w:numId w:val="2"/>
        </w:numPr>
        <w:spacing w:lineRule="auto"/>
      </w:pPr>
      <w:r>
        <w:rPr/>
        <w:t xml:space="preserve">Musts: 24/7 storingsdienst met responstijd ≤ 2 uur; emissiearm materieel; digitale weekrapportages via GIS.</w:t>
      </w:r>
    </w:p>
    <w:p>
      <w:pPr>
        <w:numPr>
          <w:ilvl w:val="0"/>
          <w:numId w:val="2"/>
        </w:numPr>
        <w:spacing w:lineRule="auto"/>
      </w:pPr>
      <w:r>
        <w:rPr/>
        <w:t xml:space="preserve">Beoordeling: EMVI (Kwaliteit 40%, Duurzaamheid 20%, Risicobeheersing 20%, Prijs 20%).</w:t>
      </w:r>
    </w:p>
    <w:p>
      <w:pPr>
        <w:numPr>
          <w:ilvl w:val="0"/>
          <w:numId w:val="2"/>
        </w:numPr>
        <w:spacing w:lineRule="auto"/>
      </w:pPr>
      <w:r>
        <w:rPr/>
        <w:t xml:space="preserve">SLA-doelen: klanttevredenheid ≥ 8,0; responstijd storingen ≤ 2 uur; opleveringen binnen planning ≥ 95%.</w:t>
      </w:r>
    </w:p>
    <w:p>
      <w:pPr>
        <w:numPr>
          <w:ilvl w:val="0"/>
          <w:numId w:val="2"/>
        </w:numPr>
        <w:spacing w:lineRule="auto"/>
      </w:pPr>
      <w:r>
        <w:rPr/>
        <w:t xml:space="preserve">Indiening: 2025-12-01.</w:t>
      </w:r>
    </w:p>
    <w:p>
      <w:pPr>
        <w:spacing w:lineRule="auto"/>
      </w:pPr>
      <w:r>
        <w:rPr/>
        <w:t xml:space="preserve">Inhoud en structuur van dit pakket</w:t>
      </w:r>
    </w:p>
    <w:p>
      <w:pPr>
        <w:numPr>
          <w:ilvl w:val="0"/>
          <w:numId w:val="3"/>
        </w:numPr>
        <w:spacing w:lineRule="auto"/>
      </w:pPr>
      <w:r>
        <w:rPr/>
        <w:t xml:space="preserve">00_README_lees_mij.md — dit document (doel, inhoud, structuur, leesvolgorde).</w:t>
      </w:r>
    </w:p>
    <w:p>
      <w:pPr>
        <w:numPr>
          <w:ilvl w:val="0"/>
          <w:numId w:val="3"/>
        </w:numPr>
        <w:spacing w:lineRule="auto"/>
      </w:pPr>
      <w:r>
        <w:rPr/>
        <w:t xml:space="preserve">01_Plan_van_Aanpak_UTR-MAINT-2025-041.pdf — aanpak, fasering, methoden, materieel, verkeersveiligheid, GIS-rapportageproces, PDCA-cyclus.</w:t>
      </w:r>
    </w:p>
    <w:p>
      <w:pPr>
        <w:numPr>
          <w:ilvl w:val="0"/>
          <w:numId w:val="3"/>
        </w:numPr>
        <w:spacing w:lineRule="auto"/>
      </w:pPr>
      <w:r>
        <w:rPr/>
        <w:t xml:space="preserve">02_Risicodossier_UTR-MAINT-2025-041.xlsx — risicoanalyse, beheersmaatregelen, restkans/restimpact, escalatiepad.</w:t>
      </w:r>
    </w:p>
    <w:p>
      <w:pPr>
        <w:numPr>
          <w:ilvl w:val="0"/>
          <w:numId w:val="3"/>
        </w:numPr>
        <w:spacing w:lineRule="auto"/>
      </w:pPr>
      <w:r>
        <w:rPr/>
        <w:t xml:space="preserve">03_KPI-overzicht_en_SLA-matrix_UTR-MAINT-2025-041.xlsx — KPI-definities, meetmethode, normen, berekening, rapportagekalender; tabblad Traceability met kruisverwijzingen.</w:t>
      </w:r>
    </w:p>
    <w:p>
      <w:pPr>
        <w:numPr>
          <w:ilvl w:val="0"/>
          <w:numId w:val="3"/>
        </w:numPr>
        <w:spacing w:lineRule="auto"/>
      </w:pPr>
      <w:r>
        <w:rPr/>
        <w:t xml:space="preserve">04_CO2-reductieplan_en_emissiearm_materieel_UTR-MAINT-2025-041.pdf — CO₂-doelen, maatregelen, monitoring; overzicht emissiearm materieel en inzetstrategie.</w:t>
      </w:r>
    </w:p>
    <w:p>
      <w:pPr>
        <w:numPr>
          <w:ilvl w:val="0"/>
          <w:numId w:val="3"/>
        </w:numPr>
        <w:spacing w:lineRule="auto"/>
      </w:pPr>
      <w:r>
        <w:rPr/>
        <w:t xml:space="preserve">05_Bewijs_ISO9001_InfraTech_Solutions_BV.pdf — geldig certificaat t.b.v. KO.</w:t>
      </w:r>
    </w:p>
    <w:p>
      <w:pPr>
        <w:numPr>
          <w:ilvl w:val="0"/>
          <w:numId w:val="3"/>
        </w:numPr>
        <w:spacing w:lineRule="auto"/>
      </w:pPr>
      <w:r>
        <w:rPr/>
        <w:t xml:space="preserve">06_Bewijs_ISO14001_InfraTech_Solutions_BV.pdf — geldig certificaat t.b.v. KO.</w:t>
      </w:r>
    </w:p>
    <w:p>
      <w:pPr>
        <w:spacing w:lineRule="auto"/>
      </w:pPr>
      <w:r>
        <w:rPr/>
        <w:t xml:space="preserve">Werkwijzen (W-xx) en PDCA-koppeling</w:t>
      </w:r>
    </w:p>
    <w:p>
      <w:pPr>
        <w:numPr>
          <w:ilvl w:val="0"/>
          <w:numId w:val="4"/>
        </w:numPr>
        <w:spacing w:lineRule="auto"/>
      </w:pPr>
      <w:r>
        <w:rPr/>
        <w:t xml:space="preserve">W-01 Inspecties verhardingen — Plan/Do in 01; Check via KPI K1;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W-02 Asfaltonderhoud (frezen/overlagen) — Plan/Do in 01; Check via K2/K3;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W-03 Klinkerherstel en herprofilering — Plan/Do in 01; Check via K2/K3;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W-04 Voegvulling en scheurherstel — Plan/Do in 01; Check via K2/K3;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W-05 Markering en reflectie — Plan/Do in 01; Check via K3;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W-06 Verkeersmaatregelen/veiligheid — Plan/Do in 01; Check via K3 en audits;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W-07 Winterdienst — Plan/Do in 01; Check via K4;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W-08 Digitale weekrapportages GIS — Plan/Do in 01; Check via K5;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W-09 Emissiearm materieel — Plan/Do in 04; Check via K6; Act via 02.</w:t>
      </w:r>
    </w:p>
    <w:p>
      <w:pPr>
        <w:numPr>
          <w:ilvl w:val="0"/>
          <w:numId w:val="4"/>
        </w:numPr>
        <w:spacing w:lineRule="auto"/>
      </w:pPr>
      <w:r>
        <w:rPr/>
        <w:t xml:space="preserve">W-10 24/7 storingsdienst — Plan/Do in 01; Check via K7; Act via 02.</w:t>
      </w:r>
    </w:p>
    <w:p>
      <w:pPr>
        <w:spacing w:lineRule="auto"/>
      </w:pPr>
      <w:r>
        <w:rPr/>
        <w:t xml:space="preserve">SMART KPI’s en kruisverwijzing (voorbeeld, volledig in 03)</w:t>
      </w:r>
    </w:p>
    <w:p>
      <w:pPr>
        <w:numPr>
          <w:ilvl w:val="0"/>
          <w:numId w:val="5"/>
        </w:numPr>
        <w:spacing w:lineRule="auto"/>
      </w:pPr>
      <w:r>
        <w:rPr/>
        <w:t xml:space="preserve">K1 Inspectiedekking: ≥ 95% segmenten per kwartaal geïnspecteerd; bewijs: GIS-inspectielog; risico R1 Capaciteitsdruk.</w:t>
      </w:r>
    </w:p>
    <w:p>
      <w:pPr>
        <w:numPr>
          <w:ilvl w:val="0"/>
          <w:numId w:val="5"/>
        </w:numPr>
        <w:spacing w:lineRule="auto"/>
      </w:pPr>
      <w:r>
        <w:rPr/>
        <w:t xml:space="preserve">K2 Opleveringen binnen planning: ≥ 95%; bewijs: weekrapportage + planning; risico R2 Leveringsvertragingen.</w:t>
      </w:r>
    </w:p>
    <w:p>
      <w:pPr>
        <w:numPr>
          <w:ilvl w:val="0"/>
          <w:numId w:val="5"/>
        </w:numPr>
        <w:spacing w:lineRule="auto"/>
      </w:pPr>
      <w:r>
        <w:rPr/>
        <w:t xml:space="preserve">K3 Kwaliteit herstel (afkeur &lt; 3% bij eerste keuring); bewijs: opleverdossiers; risico R3 Kwaliteitsafwijking.</w:t>
      </w:r>
    </w:p>
    <w:p>
      <w:pPr>
        <w:numPr>
          <w:ilvl w:val="0"/>
          <w:numId w:val="5"/>
        </w:numPr>
        <w:spacing w:lineRule="auto"/>
      </w:pPr>
      <w:r>
        <w:rPr/>
        <w:t xml:space="preserve">K4 Responstijd storingen: ≤ 2 uur (SLA); bewijs: meldkamerlog; risico R4 Piekbelasting/winter.</w:t>
      </w:r>
    </w:p>
    <w:p>
      <w:pPr>
        <w:numPr>
          <w:ilvl w:val="0"/>
          <w:numId w:val="5"/>
        </w:numPr>
        <w:spacing w:lineRule="auto"/>
      </w:pPr>
      <w:r>
        <w:rPr/>
        <w:t xml:space="preserve">K5 Rapportagediscipline: 100% weken gerapporteerd via GIS; bewijs: portal export; risico R5 Datakoppeling faalt.</w:t>
      </w:r>
    </w:p>
    <w:p>
      <w:pPr>
        <w:numPr>
          <w:ilvl w:val="0"/>
          <w:numId w:val="5"/>
        </w:numPr>
        <w:spacing w:lineRule="auto"/>
      </w:pPr>
      <w:r>
        <w:rPr/>
        <w:t xml:space="preserve">K6 CO₂-reductie: ≥ 20% t.o.v. baseline per uitvoeringsjaar; bewijs: 04 met emissierapport; risico R6 Onbeschikbaarheid HVO/elektrisch.</w:t>
      </w:r>
    </w:p>
    <w:p>
      <w:pPr>
        <w:numPr>
          <w:ilvl w:val="0"/>
          <w:numId w:val="5"/>
        </w:numPr>
        <w:spacing w:lineRule="auto"/>
      </w:pPr>
      <w:r>
        <w:rPr/>
        <w:t xml:space="preserve">K7 Klanttevredenheid: ≥ 8,0; bewijs: periodieke survey; risico R7 Communicatie/omgevingshinder.</w:t>
      </w:r>
    </w:p>
    <w:p>
      <w:pPr>
        <w:numPr>
          <w:ilvl w:val="0"/>
          <w:numId w:val="5"/>
        </w:numPr>
        <w:spacing w:lineRule="auto"/>
      </w:pPr>
      <w:r>
        <w:rPr/>
        <w:t xml:space="preserve">Traceability: per W-xx ↔ KPI ↔ risico ↔ bewijs uitgewerkt in 03 tabblad Traceability; risico-details en Act-maatregelen in 02.</w:t>
      </w:r>
    </w:p>
    <w:p>
      <w:pPr>
        <w:spacing w:lineRule="auto"/>
      </w:pPr>
      <w:r>
        <w:rPr/>
        <w:t xml:space="preserve">Hoe te lezen en toetsen (stapsgewijs, PDCA-conform)</w:t>
      </w:r>
    </w:p>
    <w:p>
      <w:pPr>
        <w:numPr>
          <w:ilvl w:val="0"/>
          <w:numId w:val="6"/>
        </w:numPr>
        <w:spacing w:lineRule="auto"/>
      </w:pPr>
      <w:r>
        <w:rPr/>
        <w:t xml:space="preserve">Stap 1 PLAN: lees 01_Plan_van_Aanpak (scope, planning, methoden, verkeersveiligheid, GIS-proces, storingsdienst, inzet emissiearm materieel).</w:t>
      </w:r>
    </w:p>
    <w:p>
      <w:pPr>
        <w:numPr>
          <w:ilvl w:val="0"/>
          <w:numId w:val="6"/>
        </w:numPr>
        <w:spacing w:lineRule="auto"/>
      </w:pPr>
      <w:r>
        <w:rPr/>
        <w:t xml:space="preserve">Stap 2 DO: verifieer uitvoeringstechnieken en resourceplanning in 01; vergelijk met 04 voor duurzame inzet.</w:t>
      </w:r>
    </w:p>
    <w:p>
      <w:pPr>
        <w:numPr>
          <w:ilvl w:val="0"/>
          <w:numId w:val="6"/>
        </w:numPr>
        <w:spacing w:lineRule="auto"/>
      </w:pPr>
      <w:r>
        <w:rPr/>
        <w:t xml:space="preserve">Stap 3 CHECK: controleer KPI-definities, normen en meetwijze in 03; match met SLA’s en EMVI-criteria.</w:t>
      </w:r>
    </w:p>
    <w:p>
      <w:pPr>
        <w:numPr>
          <w:ilvl w:val="0"/>
          <w:numId w:val="6"/>
        </w:numPr>
        <w:spacing w:lineRule="auto"/>
      </w:pPr>
      <w:r>
        <w:rPr/>
        <w:t xml:space="preserve">Stap 4 ACT: beoordeel 02_Risicodossier op restkansen en escalatie; zie 03 Traceability voor directe link naar bijsturingsacties.</w:t>
      </w:r>
    </w:p>
    <w:p>
      <w:pPr>
        <w:numPr>
          <w:ilvl w:val="0"/>
          <w:numId w:val="6"/>
        </w:numPr>
        <w:spacing w:lineRule="auto"/>
      </w:pPr>
      <w:r>
        <w:rPr/>
        <w:t xml:space="preserve">Stap 5 KO en musts: valideer 05 en 06 (ISO) en check musts in 01 (24/7 ≤ 2 uur), 04 (emissiearm) en 03 (GIS-rapportage K5).</w:t>
      </w:r>
    </w:p>
    <w:p>
      <w:pPr>
        <w:spacing w:lineRule="auto"/>
      </w:pPr>
      <w:r>
        <w:rPr/>
        <w:t xml:space="preserve">Compliancy-overzicht (waar te vinden)</w:t>
      </w:r>
    </w:p>
    <w:p>
      <w:pPr>
        <w:numPr>
          <w:ilvl w:val="0"/>
          <w:numId w:val="7"/>
        </w:numPr>
        <w:spacing w:lineRule="auto"/>
      </w:pPr>
      <w:r>
        <w:rPr/>
        <w:t xml:space="preserve">KO: ISO 9001 en 14001 — 05 en 06.</w:t>
      </w:r>
    </w:p>
    <w:p>
      <w:pPr>
        <w:numPr>
          <w:ilvl w:val="0"/>
          <w:numId w:val="7"/>
        </w:numPr>
        <w:spacing w:lineRule="auto"/>
      </w:pPr>
      <w:r>
        <w:rPr/>
        <w:t xml:space="preserve">Musts: storingsdienst ≤ 2 uur — 01 en KPI K4 in 03; emissiearm materieel — 04; digitale weekrapportages — 01 en KPI K5 in 03.</w:t>
      </w:r>
    </w:p>
    <w:p>
      <w:pPr>
        <w:numPr>
          <w:ilvl w:val="0"/>
          <w:numId w:val="7"/>
        </w:numPr>
        <w:spacing w:lineRule="auto"/>
      </w:pPr>
      <w:r>
        <w:rPr/>
        <w:t xml:space="preserve">EMVI-criteria: kwaliteit en risicobeheersing — 01 en 02; duurzaamheid — 04; prijs — separaat prijsbiljet conform aanbestedingsportaal.</w:t>
      </w:r>
    </w:p>
    <w:p>
      <w:pPr>
        <w:spacing w:lineRule="auto"/>
      </w:pPr>
      <w:r>
        <w:rPr/>
        <w:t xml:space="preserve">Gebruik en rapportagefrequentie</w:t>
      </w:r>
    </w:p>
    <w:p>
      <w:pPr>
        <w:numPr>
          <w:ilvl w:val="0"/>
          <w:numId w:val="8"/>
        </w:numPr>
        <w:spacing w:lineRule="auto"/>
      </w:pPr>
      <w:r>
        <w:rPr/>
        <w:t xml:space="preserve">Week: GIS-rapportages (K5) inclusief voortgang en kaartlagen.</w:t>
      </w:r>
    </w:p>
    <w:p>
      <w:pPr>
        <w:numPr>
          <w:ilvl w:val="0"/>
          <w:numId w:val="8"/>
        </w:numPr>
        <w:spacing w:lineRule="auto"/>
      </w:pPr>
      <w:r>
        <w:rPr/>
        <w:t xml:space="preserve">Maand: KPI-rapport (03) met trendanalyse en Act-actiepunten uit 02.</w:t>
      </w:r>
    </w:p>
    <w:p>
      <w:pPr>
        <w:numPr>
          <w:ilvl w:val="0"/>
          <w:numId w:val="8"/>
        </w:numPr>
        <w:spacing w:lineRule="auto"/>
      </w:pPr>
      <w:r>
        <w:rPr/>
        <w:t xml:space="preserve">Seizoen/winter: evaluatie W-07 responstijden en lessons learned (02).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