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Risicoregister</w:t>
      </w:r>
    </w:p>
    <w:p>
      <w:pPr>
        <w:spacing w:lineRule="auto"/>
      </w:pPr>
      <w:r>
        <w:rPr/>
        <w:t xml:space="preserve">Gegenereerd door TenderAI • 11/3/2025</w:t>
      </w:r>
    </w:p>
    <w:p>
      <w:pPr>
        <w:spacing w:lineRule="auto"/>
      </w:pPr>
      <w:r>
        <w:rPr/>
        <w:t xml:space="preserve">Risico’s – InfraTech Solutions B.V. (UTR-MAINT-2025-041)</w:t>
      </w:r>
    </w:p>
    <w:p>
      <w:pPr>
        <w:spacing w:lineRule="auto"/>
      </w:pPr>
      <w:r>
        <w:rPr/>
        <w:t xml:space="preserve">Doel en aanpak Dit risicoregister dekt 2025–2029 voor onderhoud en verduurzaming van gemeentelijke wegen Utrecht. Methodiek: ISO 31000 in samenhang met ISO 9001/14001 en VCA**. Schaal: Kans 1–5 (zeldzaam–frequent), Impact 1–5 (verwaarloosbaar–kritiek). Score = Kans x Impact. Sturing via PDCA per maatregel.</w:t>
      </w:r>
    </w:p>
    <w:p>
      <w:pPr>
        <w:spacing w:lineRule="auto"/>
      </w:pPr>
      <w:r>
        <w:rPr/>
        <w:t xml:space="preserve">KPI-referenties (SLA)</w:t>
      </w:r>
    </w:p>
    <w:p>
      <w:pPr>
        <w:numPr>
          <w:ilvl w:val="0"/>
          <w:numId w:val="1"/>
        </w:numPr>
        <w:spacing w:lineRule="auto"/>
      </w:pPr>
      <w:r>
        <w:rPr/>
        <w:t xml:space="preserve">KPI-01 Klanttevredenheid: ≥ 8,0</w:t>
      </w:r>
    </w:p>
    <w:p>
      <w:pPr>
        <w:numPr>
          <w:ilvl w:val="0"/>
          <w:numId w:val="1"/>
        </w:numPr>
        <w:spacing w:lineRule="auto"/>
      </w:pPr>
      <w:r>
        <w:rPr/>
        <w:t xml:space="preserve">KPI-02 Responstijd storingen: ≤ 2 uur</w:t>
      </w:r>
    </w:p>
    <w:p>
      <w:pPr>
        <w:numPr>
          <w:ilvl w:val="0"/>
          <w:numId w:val="1"/>
        </w:numPr>
        <w:spacing w:lineRule="auto"/>
      </w:pPr>
      <w:r>
        <w:rPr/>
        <w:t xml:space="preserve">KPI-03 Opleveringen binnen planning: ≥ 95%</w:t>
      </w:r>
    </w:p>
    <w:p>
      <w:pPr>
        <w:spacing w:lineRule="auto"/>
      </w:pPr>
      <w:r>
        <w:rPr/>
        <w:t xml:space="preserve">Werkpakketten (W-xx)</w:t>
      </w:r>
    </w:p>
    <w:p>
      <w:pPr>
        <w:numPr>
          <w:ilvl w:val="0"/>
          <w:numId w:val="2"/>
        </w:numPr>
        <w:spacing w:lineRule="auto"/>
      </w:pPr>
      <w:r>
        <w:rPr/>
        <w:t xml:space="preserve">W-01 Assetinspecties en conditiemeting</w:t>
      </w:r>
    </w:p>
    <w:p>
      <w:pPr>
        <w:numPr>
          <w:ilvl w:val="0"/>
          <w:numId w:val="2"/>
        </w:numPr>
        <w:spacing w:lineRule="auto"/>
      </w:pPr>
      <w:r>
        <w:rPr/>
        <w:t xml:space="preserve">W-02 Datagedreven planning en prioritering</w:t>
      </w:r>
    </w:p>
    <w:p>
      <w:pPr>
        <w:numPr>
          <w:ilvl w:val="0"/>
          <w:numId w:val="2"/>
        </w:numPr>
        <w:spacing w:lineRule="auto"/>
      </w:pPr>
      <w:r>
        <w:rPr/>
        <w:t xml:space="preserve">W-03 Correctief asfaltherstel</w:t>
      </w:r>
    </w:p>
    <w:p>
      <w:pPr>
        <w:numPr>
          <w:ilvl w:val="0"/>
          <w:numId w:val="2"/>
        </w:numPr>
        <w:spacing w:lineRule="auto"/>
      </w:pPr>
      <w:r>
        <w:rPr/>
        <w:t xml:space="preserve">W-04 Klinkerverharding herprofileren/voegvulling</w:t>
      </w:r>
    </w:p>
    <w:p>
      <w:pPr>
        <w:numPr>
          <w:ilvl w:val="0"/>
          <w:numId w:val="2"/>
        </w:numPr>
        <w:spacing w:lineRule="auto"/>
      </w:pPr>
      <w:r>
        <w:rPr/>
        <w:t xml:space="preserve">W-05 Verkeersmaatregelen en markering</w:t>
      </w:r>
    </w:p>
    <w:p>
      <w:pPr>
        <w:numPr>
          <w:ilvl w:val="0"/>
          <w:numId w:val="2"/>
        </w:numPr>
        <w:spacing w:lineRule="auto"/>
      </w:pPr>
      <w:r>
        <w:rPr/>
        <w:t xml:space="preserve">W-06 Winterdienst en 24/7 storingsdienst</w:t>
      </w:r>
    </w:p>
    <w:p>
      <w:pPr>
        <w:numPr>
          <w:ilvl w:val="0"/>
          <w:numId w:val="2"/>
        </w:numPr>
        <w:spacing w:lineRule="auto"/>
      </w:pPr>
      <w:r>
        <w:rPr/>
        <w:t xml:space="preserve">W-07 Duurzaamheid en emissiearm materieel</w:t>
      </w:r>
    </w:p>
    <w:p>
      <w:pPr>
        <w:numPr>
          <w:ilvl w:val="0"/>
          <w:numId w:val="2"/>
        </w:numPr>
        <w:spacing w:lineRule="auto"/>
      </w:pPr>
      <w:r>
        <w:rPr/>
        <w:t xml:space="preserve">W-08 Digitale rapportage via GIS-portaal</w:t>
      </w:r>
    </w:p>
    <w:p>
      <w:pPr>
        <w:numPr>
          <w:ilvl w:val="0"/>
          <w:numId w:val="2"/>
        </w:numPr>
        <w:spacing w:lineRule="auto"/>
      </w:pPr>
      <w:r>
        <w:rPr/>
        <w:t xml:space="preserve">W-09 Omgevingsmanagement en communicatie</w:t>
      </w:r>
    </w:p>
    <w:p>
      <w:pPr>
        <w:numPr>
          <w:ilvl w:val="0"/>
          <w:numId w:val="2"/>
        </w:numPr>
        <w:spacing w:lineRule="auto"/>
      </w:pPr>
      <w:r>
        <w:rPr/>
        <w:t xml:space="preserve">W-10 Kwaliteit, veiligheid en KAM-borging</w:t>
      </w:r>
    </w:p>
    <w:p>
      <w:pPr>
        <w:numPr>
          <w:ilvl w:val="0"/>
          <w:numId w:val="2"/>
        </w:numPr>
        <w:spacing w:lineRule="auto"/>
      </w:pPr>
      <w:r>
        <w:rPr/>
        <w:t xml:space="preserve">W-11 Leveringsketen (asfalt/bitumen/stenen)</w:t>
      </w:r>
    </w:p>
    <w:p>
      <w:pPr>
        <w:numPr>
          <w:ilvl w:val="0"/>
          <w:numId w:val="2"/>
        </w:numPr>
        <w:spacing w:lineRule="auto"/>
      </w:pPr>
      <w:r>
        <w:rPr/>
        <w:t xml:space="preserve">W-12 Kabels &amp; leidingen / vergunningen afstemming</w:t>
      </w:r>
    </w:p>
    <w:p>
      <w:pPr>
        <w:spacing w:lineRule="auto"/>
      </w:pPr>
      <w:r>
        <w:rPr/>
        <w:t xml:space="preserve">Bewijstypen (E-xx) E-01 Telematics &amp; ritdata, E-02 Storingslog meldkamer, E-03 GIS-exports, E-04 KAM-inspecties/foto’s, E-05 CO₂-PL kwartaalrapport, E-06 Materieelcertificaten (Stage V/ZE), E-07 Leveranciersbevestigingen, E-08 Omgevingsapp/klachtenlog, E-09 Planning voortgangsexports, E-10 VGM-/TRA-/LMRA-registraties.</w:t>
      </w:r>
    </w:p>
    <w:p>
      <w:pPr>
        <w:spacing w:lineRule="auto"/>
      </w:pPr>
      <w:r>
        <w:rPr/>
        <w:t xml:space="preserve">Risicoregister (minimaal 10 risico’s)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Beheersmaatregel (SMART + PDCA)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Eigenaar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KPI/W-xx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 Risk</w:t>
            </w:r>
          </w:p>
        </w:tc>
      </w:t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Responstijd storingen &gt; 2 uur (knelpunt piekuren/winter)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24/7-rooster met 2 stand-by ploegen en spreiding noord/zuid, responscel ≥ 6 FTE, routes en aanrijtijden per wijk borgen; gereed binnen 30 dagen na contractstart. D: Meldkamer 24/7 live, automatische alarmering + GPS-navigatie; proefalarm 2x per maand. C: Wekelijks KPI-02 review; norm ≥ 95% ≤ 2 uur; bron E-01/E-02/E-03. A: Bij &lt;95% binnen 7 dagen extra ploeg inzetten en routering actualiseren.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R. Bakker (Teamleider Uitvoering)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Voorbereid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KPI-02; W-06/W-08; Bewijs: E-01/E-02/E-03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Herstelkwaliteit onvoldoende (na 3 mnd terugval)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Standaard detail voor frezen/inlagen en verdichting ≥ 98% EV; ITP per activiteit gereed binnen 20 dagen na start. D: 100% eerste-week controle en 10% steekproef per week; bevoegdheden stopwerk. C: Maandelijkse DOR (defect overdue rate) ≤ 3%; bron E-04. A: Bij DOR &gt;3% binnen 5 dagen extra scholing en aanpassing mix/werkwijze.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M. Vos (KAM-coördinator)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Voorbereid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KPI-01/KPI-03; W-03/W-04/W-10; Bewijs: E-04/E-09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Ongevallen bij werkvakken (verkeersveiligheid)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VT&amp;V-plan per locatie, CROW 96a/96b conform; toolbox maandelijks; gereedstelling per werk 48 uur vooraf. D: Dubbele schouw voor start; dynamische bebording; nachtreflectiecontrole. C: Incidentenfrequentie en bijna-ongevallen maandelijks; doel 0 LTI; bron E-10/E-08. A: Na incident binnen 24 uur her-TRA en aanpassing afzetting.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 Smits (Omgevingsmanager)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KPI-01/KPI-03; W-05/W-10; Bewijs: E-10/E-08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Emissie-eisen niet gehaald (materieel)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100% inzet Stage V/ZE voor kleine machines; vlootlijst en certificaten compleet binnen 15 dagen; CO₂-reductieplan met 10% brandstofreductie/jaar. D: Automatische stationair-tijd begrenzing; rijstijlcoaching per chauffeur. C: Maandelijks fuel/uur-rapport; doel ≤ -10% Y/Y; bron E-01/E-05/E-06. A: Bij afwijking &gt;2% corrigerende training en vervanging machine binnen 30 dagen.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 de Boer (Materieelcoördinator)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Voorbereid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KPI-01; W-07; Bewijs: E-05/E-06/E-01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GIS-rapportages niet wekelijks of onjuist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Data-standaard en validatieregels; datasteward aangewezen; publicatieschema elke vrijdag 12:00; inrichting binnen 14 dagen. D: Automatische QA-scripts en dubbele controle door planner. C: Rapportagevolledigheid ≥ 98% wekelijks; bron E-03. A: Bij &lt;98% binnen 2 werkdagen correctie en herpublicatie; oorzaakanalyse.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L. Ahmed (Planner/Data-analist)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Voorbereid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KPI-03/KPI-01; W-08/W-02; Bewijs: E-03/E-09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Leveringsproblemen asfalt/bitumen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Minimaal 2 gecertificeerde centrales; veiligheidsvoorraad 200 ton; contracten getekend binnen 30 dagen. D: Rolling forecast 8 weken; bevestiging leveringen wekelijks. C: Leverbetrouwbaarheid ≥ 95%; bron E-07/E-09. A: Bij &lt;95% switch naar alternatieve centrale binnen 48 uur; optimaliseer planning.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S. Vermeer (Inkoop)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Voorbereid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KPI-03; W-11/W-03; Bewijs: E-07/E-09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Klachten over geluid/stof en bereikbaarheid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Omgevingskalender + 48-uurs bewonersbrief; geluidsarme werkwijze; KPI klachtbehandeling ≤ 2 werkdagen. D: Omgevingsapp live; stofreductie (nevel) bij frezen. C: # klachten/werk ≤ 2 en afhandelingstijd ≤ 2 dgn; bron E-08. A: &gt;2 klachten: werkmethodiek en werktijden aanpassen binnen 3 dagen.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 Smits (Omgevingsmanager)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KPI-01; W-09/W-05; Bewijs: E-08/E-03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Onvoorziene kabels/leidingen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KLIC+ aanvullende detectie (GPR) bij risicozones; werkvergadering met beheerders 10 dgn vooraf. D: Proefsleuven op kritieke locaties. C: Netaansnijdingen = 0; doorlooptijdimpact per vondst ≤ 1 dag; bron E-04/E-09. A: Protocol aanpassing ontwerp + bypass binnen 24 uur.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J. van Dijk (Projectmanager)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Voorbereid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KPI-03; W-12/W-03/W-04; Bewijs: E-04/E-09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Weersinvloed (vorst/regen) verstoort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4-weken weervensterplanning met alternatieve binnenwerkzaamheden; criteria voor doorgaan/afgelasten vastgelegd; gereed binnen 15 dagen. D: Dagelijkse 48-uurs meteocheck 07:00; schuifscenario’s klaar. C: Planningstreffer ≥ 95%; bron E-09. A: Bij &lt;95% in maandrapport: herprioritering en extra nachtploeg inzetten binnen 7 dagen.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L. Ahmed (Planner/Data-analist)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KPI-03; W-02/W-06; Bewijs: E-09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Capaciteit winterdienst onvoldoende tijdens piekgladheid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Route-engineering: max 90 min per ronde; 3 reservevoertuigen; zoutvoorraad ≥ 400 ton; paraatheidsrooster 1 nov–31 mrt. D: Pre-salting op basis van wegdektempsensoren; evaluatie na elke inzet. C: KPI-02 ≥ 95% gehaald per event; bron E-01/E-02. A: Bij &lt;95% binnen 48 uur routeherverdeling en inhuur extra strooiers.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R. Bakker (Teamleider Uitvoering)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Voorbereid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KPI-02/KPI-03; W-06; Bewijs: E-01/E-02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Markeringen/verkeersmaatregelen niet conform (CROW/regeling)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Checklist per werkvak; keuringsmoment vóór vrijgave verkeer; opleiden 100% voormannen binnen 30 dagen. D: Dubbele controle (vier-ogen) op dag 1 en na 7 dagen. C: Afkeuringen ≤ 2% per maand; bron E-04. A: Bij &gt;2% binnen 5 dagen herinstructie en vervanging leverancier markering.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M. Vos (KAM-coördinator)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KPI-03/KPI-01; W-05/W-10; Bewijs: E-04/E-03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Milieuschade door morsen/lekken (brandstof/bitumen)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Spill-response kits op alle ploegen; instructie + oefening 2x/jaar; opslag conform PGS. D: Dagelijkse materieelcheck op lekken; druppelbakken verplicht. C: Aantal spills = 0; meldingstijd ≤ 30 min; bron E-04/E-10. A: Na incident binnen 24 uur root cause + preventie; defect materieel buiten dienst.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 de Boer (Materieelcoördinator)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Voorbereid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KPI-01; W-07/W-10; Bewijs: E-04/E-10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Toelichting PDCA-borging en rapportage</w:t>
      </w:r>
    </w:p>
    <w:p>
      <w:pPr>
        <w:numPr>
          <w:ilvl w:val="0"/>
          <w:numId w:val="3"/>
        </w:numPr>
        <w:spacing w:lineRule="auto"/>
      </w:pPr>
      <w:r>
        <w:rPr/>
        <w:t xml:space="preserve">Plan: Voor elk risico zijn concrete normen, rollen en termijnen vastgelegd (bijv. voorraadniveaus, opleidingen, paraatheidsroosters).</w:t>
      </w:r>
    </w:p>
    <w:p>
      <w:pPr>
        <w:numPr>
          <w:ilvl w:val="0"/>
          <w:numId w:val="3"/>
        </w:numPr>
        <w:spacing w:lineRule="auto"/>
      </w:pPr>
      <w:r>
        <w:rPr/>
        <w:t xml:space="preserve">Do: Operationele uitvoering met redundantie (reserves, alternatieven, dubbele controles) en digitalisering (GIS, telematics).</w:t>
      </w:r>
    </w:p>
    <w:p>
      <w:pPr>
        <w:numPr>
          <w:ilvl w:val="0"/>
          <w:numId w:val="3"/>
        </w:numPr>
        <w:spacing w:lineRule="auto"/>
      </w:pPr>
      <w:r>
        <w:rPr/>
        <w:t xml:space="preserve">Check: Wekelijkse/maandelijkse meting tegen KPI-01/02/03 met bronverwijzing (E-xx) en drempelwaarden (bijv. ≥ 95% planningstreffer).</w:t>
      </w:r>
    </w:p>
    <w:p>
      <w:pPr>
        <w:numPr>
          <w:ilvl w:val="0"/>
          <w:numId w:val="3"/>
        </w:numPr>
        <w:spacing w:lineRule="auto"/>
      </w:pPr>
      <w:r>
        <w:rPr/>
        <w:t xml:space="preserve">Act: Duidelijke triggers en reactietermijnen (24–48 uur) met structurele verbeteracties (opleiden, herrouteren, leveranciersswitch).</w:t>
      </w:r>
    </w:p>
    <w:p>
      <w:pPr>
        <w:spacing w:lineRule="auto"/>
      </w:pPr>
      <w:r>
        <w:rPr/>
        <w:t xml:space="preserve">Afsprakencyclus en eigenaarschap</w:t>
      </w:r>
    </w:p>
    <w:p>
      <w:pPr>
        <w:numPr>
          <w:ilvl w:val="0"/>
          <w:numId w:val="4"/>
        </w:numPr>
        <w:spacing w:lineRule="auto"/>
      </w:pPr>
      <w:r>
        <w:rPr/>
        <w:t xml:space="preserve">Dagelijkse dagstart uitvoering (Uitvoerder + KAM): afwijkingen en directe acties.</w:t>
      </w:r>
    </w:p>
    <w:p>
      <w:pPr>
        <w:numPr>
          <w:ilvl w:val="0"/>
          <w:numId w:val="4"/>
        </w:numPr>
        <w:spacing w:lineRule="auto"/>
      </w:pPr>
      <w:r>
        <w:rPr/>
        <w:t xml:space="preserve">Wekelijkse voortgang met datareview (Planner, Projectmanager): KPI-02/03 en E-03/E-09.</w:t>
      </w:r>
    </w:p>
    <w:p>
      <w:pPr>
        <w:numPr>
          <w:ilvl w:val="0"/>
          <w:numId w:val="4"/>
        </w:numPr>
        <w:spacing w:lineRule="auto"/>
      </w:pPr>
      <w:r>
        <w:rPr/>
        <w:t xml:space="preserve">Maandelijkse directiereview (PM, KAM, Inkoop): trends en structurele bijsturing; maatregelen worden geactualiseerd in het risicodossier en Plan van Aanpak.</w:t>
      </w:r>
    </w:p>
    <w:p>
      <w:pPr>
        <w:spacing w:lineRule="auto"/>
      </w:pPr>
      <w:r>
        <w:rPr/>
        <w:t xml:space="preserve">Kruisverbanden W-xx ↔ KPI ↔ Risico ↔ Bewijs</w:t>
      </w:r>
    </w:p>
    <w:p>
      <w:pPr>
        <w:numPr>
          <w:ilvl w:val="0"/>
          <w:numId w:val="5"/>
        </w:numPr>
        <w:spacing w:lineRule="auto"/>
      </w:pPr>
      <w:r>
        <w:rPr/>
        <w:t xml:space="preserve">Voor elk risico is aangegeven welke KPI’s geraakt worden, welke werkpakketten de beheersing dragen, en welke bewijslijnen (E-xx) worden gebruikt voor Check/controle en audittrail.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2025-11-03T21:30:26.855Z</dcterms:created>
  <dcterms:modified xsi:type="dcterms:W3CDTF">2025-11-03T21:30:26.855Z</dcterms:modified>
</cp:coreProperties>
</file>