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Beoordelingsmethodiek (EMVI/BPKV)</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Beoordelingsmethodiek EMVI</w:t>
      </w:r>
    </w:p>
    <w:p>
      <w:pPr>
        <w:pStyle w:val="Heading2"/>
        <w:spacing w:lineRule="auto"/>
      </w:pPr>
      <w:r>
        <w:rPr/>
        <w:t xml:space="preserve">Inleiding</w:t>
      </w:r>
    </w:p>
    <w:p>
      <w:pPr>
        <w:spacing w:lineRule="auto"/>
      </w:pPr>
      <w:r>
        <w:rPr/>
        <w:t xml:space="preserve">Deze beoordelingsmethodiek is opgesteld om de inschrijvingen te beoordelen volgens de EMVI-criteria voor het project "Onderhoud en verduurzaming gemeentelijke wegen 2025–2029". Het document beschrijft de BPKV-criteria (Beste Prijs/Kwaliteit Verhouding) met daarbij de bijbehorende weging, beoordelingsschaal, hetgeen dat goed eruitziet, onze invulling en gerelateerde W-xx.</w:t>
      </w:r>
    </w:p>
    <w:p>
      <w:pPr>
        <w:pStyle w:val="Heading2"/>
        <w:spacing w:lineRule="auto"/>
      </w:pPr>
      <w:r>
        <w:rPr/>
        <w:t xml:space="preserve">Beoordelingscriteria</w:t>
      </w:r>
    </w:p>
    <w:p>
      <w:pPr>
        <w:spacing w:lineRule="auto"/>
      </w:pPr>
      <w:r>
        <w:rPr/>
        <w:t xml:space="preserve">Hieronder volgen de vier hoofdcategorieën van de beoordelingscriteria, inclusief hun weging en een definitie van wat goed eruitziet.</w:t>
      </w:r>
    </w:p>
    <w:p>
      <w:pPr>
        <w:pStyle w:val="Heading3"/>
        <w:spacing w:lineRule="auto"/>
      </w:pPr>
      <w:r>
        <w:rPr/>
        <w:t xml:space="preserve">1. Kwaliteit (40%)</w:t>
      </w:r>
    </w:p>
    <w:p>
      <w:pPr>
        <w:numPr>
          <w:ilvl w:val="0"/>
          <w:numId w:val="1"/>
        </w:numPr>
        <w:spacing w:lineRule="auto"/>
      </w:pPr>
      <w:r>
        <w:rPr>
          <w:b/>
        </w:rPr>
        <w:t xml:space="preserve">Weging</w:t>
      </w:r>
      <w:r>
        <w:rPr/>
        <w:t xml:space="preserve">: 40%</w:t>
      </w:r>
    </w:p>
    <w:p>
      <w:pPr>
        <w:numPr>
          <w:ilvl w:val="0"/>
          <w:numId w:val="1"/>
        </w:numPr>
        <w:spacing w:lineRule="auto"/>
      </w:pPr>
      <w:r>
        <w:rPr>
          <w:b/>
        </w:rPr>
        <w:t xml:space="preserve">Schaal</w:t>
      </w:r>
      <w:r>
        <w:rPr/>
        <w:t xml:space="preserve">: 0-10 punten</w:t>
      </w:r>
    </w:p>
    <w:p>
      <w:pPr>
        <w:numPr>
          <w:ilvl w:val="0"/>
          <w:numId w:val="1"/>
        </w:numPr>
        <w:spacing w:lineRule="auto"/>
      </w:pPr>
      <w:r>
        <w:rPr>
          <w:b/>
        </w:rPr>
        <w:t xml:space="preserve">Wat goed eruitziet</w:t>
      </w:r>
      <w:r>
        <w:rPr/>
        <w:t xml:space="preserve">: Een gedegen plan van aanpak dat aantoont dat alle kwaliteitsaspecten zijn gewaarborgd, inclusief digitale rapportages en een proactieve benadering van risico's.</w:t>
      </w:r>
    </w:p>
    <w:p>
      <w:pPr>
        <w:numPr>
          <w:ilvl w:val="0"/>
          <w:numId w:val="1"/>
        </w:numPr>
        <w:spacing w:lineRule="auto"/>
      </w:pPr>
      <w:r>
        <w:rPr>
          <w:b/>
        </w:rPr>
        <w:t xml:space="preserve">Onze invulling</w:t>
      </w:r>
      <w:r>
        <w:rPr/>
        <w:t xml:space="preserve">: Gedetailleerd plan van aanpak met duidelijke fases, verantwoordelijkheden en meetbare KPI's.</w:t>
      </w:r>
    </w:p>
    <w:p>
      <w:pPr>
        <w:numPr>
          <w:ilvl w:val="0"/>
          <w:numId w:val="1"/>
        </w:numPr>
        <w:spacing w:lineRule="auto"/>
      </w:pPr>
      <w:r>
        <w:rPr>
          <w:b/>
        </w:rPr>
        <w:t xml:space="preserve">Gerelateerde W-xx</w:t>
      </w:r>
      <w:r>
        <w:rPr/>
        <w:t xml:space="preserve">: W-01, W-02, W-03</w:t>
      </w:r>
    </w:p>
    <w:p>
      <w:pPr>
        <w:pStyle w:val="Heading3"/>
        <w:spacing w:lineRule="auto"/>
      </w:pPr>
      <w:r>
        <w:rPr/>
        <w:t xml:space="preserve">2. Duurzaamheid (20%)</w:t>
      </w:r>
    </w:p>
    <w:p>
      <w:pPr>
        <w:numPr>
          <w:ilvl w:val="0"/>
          <w:numId w:val="2"/>
        </w:numPr>
        <w:spacing w:lineRule="auto"/>
      </w:pPr>
      <w:r>
        <w:rPr>
          <w:b/>
        </w:rPr>
        <w:t xml:space="preserve">Weging</w:t>
      </w:r>
      <w:r>
        <w:rPr/>
        <w:t xml:space="preserve">: 20%</w:t>
      </w:r>
    </w:p>
    <w:p>
      <w:pPr>
        <w:numPr>
          <w:ilvl w:val="0"/>
          <w:numId w:val="2"/>
        </w:numPr>
        <w:spacing w:lineRule="auto"/>
      </w:pPr>
      <w:r>
        <w:rPr>
          <w:b/>
        </w:rPr>
        <w:t xml:space="preserve">Schaal</w:t>
      </w:r>
      <w:r>
        <w:rPr/>
        <w:t xml:space="preserve">: 0-10 punten</w:t>
      </w:r>
    </w:p>
    <w:p>
      <w:pPr>
        <w:numPr>
          <w:ilvl w:val="0"/>
          <w:numId w:val="2"/>
        </w:numPr>
        <w:spacing w:lineRule="auto"/>
      </w:pPr>
      <w:r>
        <w:rPr>
          <w:b/>
        </w:rPr>
        <w:t xml:space="preserve">Wat goed eruitziet</w:t>
      </w:r>
      <w:r>
        <w:rPr/>
        <w:t xml:space="preserve">: Voorstellen van innovatieve en duurzame werkwijzen, gebruik van circulaire materialen en een CO₂-reductieplan dat voldoet aan de gemeentelijke eisen.</w:t>
      </w:r>
    </w:p>
    <w:p>
      <w:pPr>
        <w:numPr>
          <w:ilvl w:val="0"/>
          <w:numId w:val="2"/>
        </w:numPr>
        <w:spacing w:lineRule="auto"/>
      </w:pPr>
      <w:r>
        <w:rPr>
          <w:b/>
        </w:rPr>
        <w:t xml:space="preserve">Onze invulling</w:t>
      </w:r>
      <w:r>
        <w:rPr/>
        <w:t xml:space="preserve">: Aantoonbare inzet op circulair asfalt en gebruik van emissiearm materieel in het project.</w:t>
      </w:r>
    </w:p>
    <w:p>
      <w:pPr>
        <w:numPr>
          <w:ilvl w:val="0"/>
          <w:numId w:val="2"/>
        </w:numPr>
        <w:spacing w:lineRule="auto"/>
      </w:pPr>
      <w:r>
        <w:rPr>
          <w:b/>
        </w:rPr>
        <w:t xml:space="preserve">Gerelateerde W-xx</w:t>
      </w:r>
      <w:r>
        <w:rPr/>
        <w:t xml:space="preserve">: W-04, W-05</w:t>
      </w:r>
    </w:p>
    <w:p>
      <w:pPr>
        <w:pStyle w:val="Heading3"/>
        <w:spacing w:lineRule="auto"/>
      </w:pPr>
      <w:r>
        <w:rPr/>
        <w:t xml:space="preserve">3. Risicobeheersing (20%)</w:t>
      </w:r>
    </w:p>
    <w:p>
      <w:pPr>
        <w:numPr>
          <w:ilvl w:val="0"/>
          <w:numId w:val="3"/>
        </w:numPr>
        <w:spacing w:lineRule="auto"/>
      </w:pPr>
      <w:r>
        <w:rPr>
          <w:b/>
        </w:rPr>
        <w:t xml:space="preserve">Weging</w:t>
      </w:r>
      <w:r>
        <w:rPr/>
        <w:t xml:space="preserve">: 20%</w:t>
      </w:r>
    </w:p>
    <w:p>
      <w:pPr>
        <w:numPr>
          <w:ilvl w:val="0"/>
          <w:numId w:val="3"/>
        </w:numPr>
        <w:spacing w:lineRule="auto"/>
      </w:pPr>
      <w:r>
        <w:rPr>
          <w:b/>
        </w:rPr>
        <w:t xml:space="preserve">Schaal</w:t>
      </w:r>
      <w:r>
        <w:rPr/>
        <w:t xml:space="preserve">: 0-10 punten</w:t>
      </w:r>
    </w:p>
    <w:p>
      <w:pPr>
        <w:numPr>
          <w:ilvl w:val="0"/>
          <w:numId w:val="3"/>
        </w:numPr>
        <w:spacing w:lineRule="auto"/>
      </w:pPr>
      <w:r>
        <w:rPr>
          <w:b/>
        </w:rPr>
        <w:t xml:space="preserve">Wat goed eruitziet</w:t>
      </w:r>
      <w:r>
        <w:rPr/>
        <w:t xml:space="preserve">: Duidelijke identificatie van belangrijkste risico's met bijbehorende beheersmaatregelen en een gedetailleerd risicodossier.</w:t>
      </w:r>
    </w:p>
    <w:p>
      <w:pPr>
        <w:numPr>
          <w:ilvl w:val="0"/>
          <w:numId w:val="3"/>
        </w:numPr>
        <w:spacing w:lineRule="auto"/>
      </w:pPr>
      <w:r>
        <w:rPr>
          <w:b/>
        </w:rPr>
        <w:t xml:space="preserve">Onze invulling</w:t>
      </w:r>
      <w:r>
        <w:rPr/>
        <w:t xml:space="preserve">: Een uitgebreid risicodossier met identificatie, beoordeling, en plannen voor mitigatie van de risico's.</w:t>
      </w:r>
    </w:p>
    <w:p>
      <w:pPr>
        <w:numPr>
          <w:ilvl w:val="0"/>
          <w:numId w:val="3"/>
        </w:numPr>
        <w:spacing w:lineRule="auto"/>
      </w:pPr>
      <w:r>
        <w:rPr>
          <w:b/>
        </w:rPr>
        <w:t xml:space="preserve">Gerelateerde W-xx</w:t>
      </w:r>
      <w:r>
        <w:rPr/>
        <w:t xml:space="preserve">: W-06, W-07</w:t>
      </w:r>
    </w:p>
    <w:p>
      <w:pPr>
        <w:pStyle w:val="Heading3"/>
        <w:spacing w:lineRule="auto"/>
      </w:pPr>
      <w:r>
        <w:rPr/>
        <w:t xml:space="preserve">4. Prijs (20%)</w:t>
      </w:r>
    </w:p>
    <w:p>
      <w:pPr>
        <w:numPr>
          <w:ilvl w:val="0"/>
          <w:numId w:val="4"/>
        </w:numPr>
        <w:spacing w:lineRule="auto"/>
      </w:pPr>
      <w:r>
        <w:rPr>
          <w:b/>
        </w:rPr>
        <w:t xml:space="preserve">Weging</w:t>
      </w:r>
      <w:r>
        <w:rPr/>
        <w:t xml:space="preserve">: 20%</w:t>
      </w:r>
    </w:p>
    <w:p>
      <w:pPr>
        <w:numPr>
          <w:ilvl w:val="0"/>
          <w:numId w:val="4"/>
        </w:numPr>
        <w:spacing w:lineRule="auto"/>
      </w:pPr>
      <w:r>
        <w:rPr>
          <w:b/>
        </w:rPr>
        <w:t xml:space="preserve">Schaal</w:t>
      </w:r>
      <w:r>
        <w:rPr/>
        <w:t xml:space="preserve">: 0-10 punten (prijsvergelijking op basis van de laagste aanbieding)</w:t>
      </w:r>
    </w:p>
    <w:p>
      <w:pPr>
        <w:numPr>
          <w:ilvl w:val="0"/>
          <w:numId w:val="4"/>
        </w:numPr>
        <w:spacing w:lineRule="auto"/>
      </w:pPr>
      <w:r>
        <w:rPr>
          <w:b/>
        </w:rPr>
        <w:t xml:space="preserve">Wat goed eruitziet</w:t>
      </w:r>
      <w:r>
        <w:rPr/>
        <w:t xml:space="preserve">: Een transparante en genoteerde prijsstructuur die recht doet aan de aangeboden kwaliteit en extra waarde voor de gemeente biedt.</w:t>
      </w:r>
    </w:p>
    <w:p>
      <w:pPr>
        <w:numPr>
          <w:ilvl w:val="0"/>
          <w:numId w:val="4"/>
        </w:numPr>
        <w:spacing w:lineRule="auto"/>
      </w:pPr>
      <w:r>
        <w:rPr>
          <w:b/>
        </w:rPr>
        <w:t xml:space="preserve">Onze invulling</w:t>
      </w:r>
      <w:r>
        <w:rPr/>
        <w:t xml:space="preserve">: Een competitieve prijs die de investering in kwaliteit en duurzaamheid weerspiegelt.</w:t>
      </w:r>
    </w:p>
    <w:p>
      <w:pPr>
        <w:numPr>
          <w:ilvl w:val="0"/>
          <w:numId w:val="4"/>
        </w:numPr>
        <w:spacing w:lineRule="auto"/>
      </w:pPr>
      <w:r>
        <w:rPr>
          <w:b/>
        </w:rPr>
        <w:t xml:space="preserve">Gerelateerde W-xx</w:t>
      </w:r>
      <w:r>
        <w:rPr/>
        <w:t xml:space="preserve">: W-08</w:t>
      </w:r>
    </w:p>
    <w:p>
      <w:pPr>
        <w:pStyle w:val="Heading2"/>
        <w:spacing w:lineRule="auto"/>
      </w:pPr>
      <w:r>
        <w:rPr/>
        <w:t xml:space="preserve">Tabel: Beoordelingsstructuur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Schaal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goed eruitziet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invulling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W-xx</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Gedegen plan van aanpak met meetbare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Gedetailleerd plan met fases en verantwoordelijkheden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 W-02, W-03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Innovatieve en duurzame werkwijzen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Circulair asfalt, emissiearm materieel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W-04, W-05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Identificatie van risico's met beheersmaatregelen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Uitgebreid risicodossier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W-06, W-07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Transparante prijsstructuur die waarde biedt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Competitieve 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W-08</w:t>
            </w:r>
          </w:p>
        </w:tc>
      </w:tr>
    </w:tbl>
    <w:p>
      <w:pPr>
        <w:spacing w:lineRule="auto"/>
      </w:pPr>
      <w:r>
        <w:rPr/>
      </w:r>
    </w:p>
    <w:p>
      <w:pPr>
        <w:pStyle w:val="Heading2"/>
        <w:spacing w:lineRule="auto"/>
      </w:pPr>
      <w:r>
        <w:rPr/>
        <w:t xml:space="preserve">Conclusie</w:t>
      </w:r>
    </w:p>
    <w:p>
      <w:pPr>
        <w:spacing w:lineRule="auto"/>
      </w:pPr>
      <w:r>
        <w:rPr/>
        <w:t xml:space="preserve">Deze beoordelingsmethodiek zorgt ervoor dat de inschrijvingen op een objectieve en transparante wijze worden vergeleken en beoordeeld. Door het vaststellen van duidelijke criteria en wegingen, wordt de keuze voor de beste inschrijver gefaciliteerd, zodat aan de behoeften van de Gemeente Utrecht optimaal kan worden voldaan.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Beoordelingsmethodiek (EMVI/BPKV)</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