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KPI / SLA Dashboard</w:t>
      </w:r>
    </w:p>
    <w:p>
      <w:pPr>
        <w:pStyle w:val="Heading2"/>
        <w:spacing w:lineRule="auto"/>
      </w:pPr>
      <w:r>
        <w:rPr/>
        <w:t xml:space="preserve">InfraTech Solutions B.V. — Onderhoud en verduurzaming gemeentelijke wegen 2025–2029</w:t>
      </w:r>
    </w:p>
    <w:p>
      <w:pPr>
        <w:spacing w:lineRule="auto"/>
      </w:pPr>
      <w:r>
        <w:rPr/>
        <w:t xml:space="preserve">     03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pStyle w:val="Heading1"/>
        <w:spacing w:lineRule="auto"/>
      </w:pPr>
      <w:r>
        <w:rPr/>
        <w:t xml:space="preserve">KPI/SLA Overzicht voor Onderhoud en Verduurzaming Gemeentelijke Wegen 2025–2029</w:t>
      </w:r>
    </w:p>
    <w:p>
      <w:pPr>
        <w:spacing w:lineRule="auto"/>
      </w:pPr>
      <w:r>
        <w:rPr/>
        <w:t xml:space="preserve">In dit document worden de KPI's en SLA's beschreven die van toepassing zijn op het contract voor het onderhoud en de verduurzaming van de gemeentelijke wegen van de Gemeente Utrecht van 2025 tot 2029. Elke KPI/SLA is SMART geformuleerd en voldoet aan de gespecificeerde eisen.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
        <w:gridCol w:w="1080"/>
        <w:gridCol w:w="1080"/>
        <w:gridCol w:w="1080"/>
        <w:gridCol w:w="1080"/>
        <w:gridCol w:w="1080"/>
        <w:gridCol w:w="1080"/>
        <w:gridCol w:w="10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Meetmethode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Frequentie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Escalatie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Verantwoordelijke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 W-xx/criterium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Meetbron</w:t>
            </w:r>
          </w:p>
        </w:tc>
      </w:tr>
      <w:tblGrid>
        <w:gridCol w:w="1080"/>
        <w:gridCol w:w="1080"/>
        <w:gridCol w:w="1080"/>
        <w:gridCol w:w="1080"/>
        <w:gridCol w:w="1080"/>
        <w:gridCol w:w="1080"/>
        <w:gridCol w:w="1080"/>
        <w:gridCol w:w="10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Klanttevredenheid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Enquête onder gebruikers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Jaarlijks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7,5: Directe rapportage aan de Gemeente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Responstijd storingen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2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Logboek storingsmeldingen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&gt; 2 uur: Directe rapportage aan de Gemeente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Support Lead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Opleveringen binnen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Projectplanning versus opleverdata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elke oplevering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90%: Evaluatie tijdens maandelijkse meeting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CO₂-reductie per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15% ten opzichte van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CO₂-uitstootrapportage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project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10%: Actieplan opstellen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Duurzaamheidscoördinator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Kwaliteit van uitgevoerde werkzaamheden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Inspectie 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iedere fase van de werkzaamheden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85%: Herstelplan opstellen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Hoofd Werkvoorbereiding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Digitalisering 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binnen de week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Aantal ingediende digitale 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Wekelijks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niet-indiening: Waarschuwing aan projectmanager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Projectmedewerker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Tijdige communicatie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binnen 24 uur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Communicatie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Continue 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overschrijding: Persoonlijke opvolging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Communicatiefunctionaris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Veiligheid bij uitvoeringen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ongevallen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Veiligheidsrapportages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Maandelijks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1 ongeval: Directe evaluatie en actieplan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Veiligheidscoördinator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Kansen op innovatieve oplossingen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3 per jaar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Innovatie-rapportage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Jaarlijks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2: Vergadering met stakeholders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Innovatiemanager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Training medewerkers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 deelname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Opkomende trainingsrapportages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Halfjaarlijks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70%: Herziening van trainingsaanpak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HR-manager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Gebruik van emissiearm materieel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Materiaalgebruik rapportages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Maandelijks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90%: Directe feedback aan leveranciers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Inkoopmanager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Effectiviteit 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80% van geïdentificeerde risico's gemitigeerd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Risicodossier updates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Kwartaal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Bij &lt; 70%: Evaluatie met betrokken partijen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CMMS / Audit / Sensor</w:t>
            </w:r>
          </w:p>
        </w:tc>
      </w:tr>
    </w:tbl>
    <w:p>
      <w:pPr>
        <w:spacing w:lineRule="auto"/>
      </w:pPr>
      <w:r>
        <w:rPr/>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KPI / SLA Dashboard</dc:title>
  <dc:subject/>
  <dc:creator>html-to-docx</dc:creator>
  <cp:keywords>html-to-docx</cp:keywords>
  <dc:description/>
  <cp:lastModifiedBy>html-to-docx</cp:lastModifiedBy>
  <cp:revision>1</cp:revision>
  <dcterms:created xsi:type="dcterms:W3CDTF">2025-11-03T22:23:48.350Z</dcterms:created>
  <dcterms:modified xsi:type="dcterms:W3CDTF">2025-11-03T22:23:48.350Z</dcterms:modified>
</cp:coreProperties>
</file>