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720" w:right="720" w:bottom="720" w:left="720" w:header="undefined" w:footer="undefined" w:gutter="undefined"/>
      <w:footerReference r:id="rId6" w:type="default"/>
    </w:sectPr>
    <w:p>
      <w:pPr>
        <w:spacing w:lineRule="auto"/>
      </w:pPr>
      <w:r>
        <w:rPr/>
        <w:t xml:space="preserve">     </w:t>
      </w:r>
    </w:p>
    <w:p>
      <w:pPr>
        <w:pStyle w:val="Heading1"/>
        <w:spacing w:lineRule="auto"/>
      </w:pPr>
      <w:r>
        <w:rPr/>
        <w:t xml:space="preserve">Assumpties_Uitsluitingen</w:t>
      </w:r>
    </w:p>
    <w:p>
      <w:pPr>
        <w:spacing w:lineRule="auto"/>
      </w:pPr>
      <w:r>
        <w:rPr/>
        <w:t xml:space="preserve">Gegenereerd door TenderAI • 11/3/2025</w:t>
      </w:r>
    </w:p>
    <w:p>
      <w:pPr>
        <w:pStyle w:val="Heading1"/>
        <w:spacing w:lineRule="auto"/>
      </w:pPr>
      <w:r>
        <w:rPr/>
        <w:t xml:space="preserve">Aannames &amp; Uitsluitingen</w:t>
      </w:r>
    </w:p>
    <w:p>
      <w:pPr>
        <w:pStyle w:val="Heading2"/>
        <w:spacing w:lineRule="auto"/>
      </w:pPr>
      <w:r>
        <w:rPr/>
        <w:t xml:space="preserve">Aannames</w:t>
      </w:r>
    </w:p>
    <w:p>
      <w:pPr>
        <w:numPr>
          <w:ilvl w:val="0"/>
          <w:numId w:val="1"/>
        </w:numPr>
        <w:spacing w:lineRule="auto"/>
      </w:pPr>
      <w:r>
        <w:rPr>
          <w:b/>
        </w:rPr>
        <w:t xml:space="preserve">Prijsstelling</w:t>
      </w:r>
      <w:r>
        <w:rPr/>
        <w:t xml:space="preserve">:</w:t>
      </w:r>
    </w:p>
    <w:p>
      <w:pPr>
        <w:numPr>
          <w:ilvl w:val="1"/>
          <w:numId w:val="2"/>
        </w:numPr>
        <w:spacing w:lineRule="auto"/>
      </w:pPr>
      <w:r>
        <w:rPr/>
        <w:t xml:space="preserve">De prijzen zijn vastgezet en kunnen gedurende de looptijd van het contract niet aangepast worden.</w:t>
      </w:r>
    </w:p>
    <w:p>
      <w:pPr>
        <w:numPr>
          <w:ilvl w:val="0"/>
          <w:numId w:val="1"/>
        </w:numPr>
        <w:spacing w:lineRule="auto"/>
      </w:pPr>
      <w:r>
        <w:rPr>
          <w:b/>
        </w:rPr>
        <w:t xml:space="preserve">Warranties</w:t>
      </w:r>
      <w:r>
        <w:rPr/>
        <w:t xml:space="preserve">:</w:t>
      </w:r>
    </w:p>
    <w:p>
      <w:pPr>
        <w:numPr>
          <w:ilvl w:val="1"/>
          <w:numId w:val="3"/>
        </w:numPr>
        <w:spacing w:lineRule="auto"/>
      </w:pPr>
      <w:r>
        <w:rPr/>
        <w:t xml:space="preserve">Er wordt een garantie van 12 maanden gegeven op alle verrichte werkzaamheden en geleverde materialen.</w:t>
      </w:r>
    </w:p>
    <w:p>
      <w:pPr>
        <w:numPr>
          <w:ilvl w:val="0"/>
          <w:numId w:val="1"/>
        </w:numPr>
        <w:spacing w:lineRule="auto"/>
      </w:pPr>
      <w:r>
        <w:rPr>
          <w:b/>
        </w:rPr>
        <w:t xml:space="preserve">Kwaliteit en Duurzaamheid</w:t>
      </w:r>
      <w:r>
        <w:rPr/>
        <w:t xml:space="preserve">:</w:t>
      </w:r>
    </w:p>
    <w:p>
      <w:pPr>
        <w:numPr>
          <w:ilvl w:val="1"/>
          <w:numId w:val="4"/>
        </w:numPr>
        <w:spacing w:lineRule="auto"/>
      </w:pPr>
      <w:r>
        <w:rPr/>
        <w:t xml:space="preserve">Geclaimde certificeringen zoals ISO 9001 en ISO 14001 zijn actueel en geldig.</w:t>
      </w:r>
    </w:p>
    <w:p>
      <w:pPr>
        <w:numPr>
          <w:ilvl w:val="0"/>
          <w:numId w:val="1"/>
        </w:numPr>
        <w:spacing w:lineRule="auto"/>
      </w:pPr>
      <w:r>
        <w:rPr>
          <w:b/>
        </w:rPr>
        <w:t xml:space="preserve">Voorraden en Materialen</w:t>
      </w:r>
      <w:r>
        <w:rPr/>
        <w:t xml:space="preserve">:</w:t>
      </w:r>
    </w:p>
    <w:p>
      <w:pPr>
        <w:numPr>
          <w:ilvl w:val="1"/>
          <w:numId w:val="5"/>
        </w:numPr>
        <w:spacing w:lineRule="auto"/>
      </w:pPr>
      <w:r>
        <w:rPr/>
        <w:t xml:space="preserve">Er wordt vanuit gegaan dat alle benodigde materialen tijdig beschikbaar zijn.</w:t>
      </w:r>
    </w:p>
    <w:p>
      <w:pPr>
        <w:numPr>
          <w:ilvl w:val="0"/>
          <w:numId w:val="1"/>
        </w:numPr>
        <w:spacing w:lineRule="auto"/>
      </w:pPr>
      <w:r>
        <w:rPr>
          <w:b/>
        </w:rPr>
        <w:t xml:space="preserve">Communicatie</w:t>
      </w:r>
      <w:r>
        <w:rPr/>
        <w:t xml:space="preserve">:</w:t>
      </w:r>
    </w:p>
    <w:p>
      <w:pPr>
        <w:numPr>
          <w:ilvl w:val="1"/>
          <w:numId w:val="6"/>
        </w:numPr>
        <w:spacing w:lineRule="auto"/>
      </w:pPr>
      <w:r>
        <w:rPr/>
        <w:t xml:space="preserve">De gemeente Utrecht biedt tijdige toegang tot noodzakelijke informatie en portalen voor digitale rapportage.</w:t>
      </w:r>
    </w:p>
    <w:p>
      <w:pPr>
        <w:pStyle w:val="Heading2"/>
        <w:spacing w:lineRule="auto"/>
      </w:pPr>
      <w:r>
        <w:rPr/>
        <w:t xml:space="preserve">Juridische Uitsluitingen</w:t>
      </w:r>
    </w:p>
    <w:p>
      <w:pPr>
        <w:numPr>
          <w:ilvl w:val="0"/>
          <w:numId w:val="7"/>
        </w:numPr>
        <w:spacing w:lineRule="auto"/>
      </w:pPr>
      <w:r>
        <w:rPr>
          <w:b/>
        </w:rPr>
        <w:t xml:space="preserve">Aansprakelijkheid</w:t>
      </w:r>
      <w:r>
        <w:rPr/>
        <w:t xml:space="preserve">:</w:t>
      </w:r>
    </w:p>
    <w:p>
      <w:pPr>
        <w:numPr>
          <w:ilvl w:val="1"/>
          <w:numId w:val="8"/>
        </w:numPr>
        <w:spacing w:lineRule="auto"/>
      </w:pPr>
      <w:r>
        <w:rPr/>
        <w:t xml:space="preserve">InfraTech Solutions B.V. is niet aansprakelijk voor indirecte schade, zoals gevolgschade of gederfde winst, die voortvloeien uit het niet nakomen van contractuele verplichtingen door de opdrachtgever.</w:t>
      </w:r>
    </w:p>
    <w:p>
      <w:pPr>
        <w:numPr>
          <w:ilvl w:val="0"/>
          <w:numId w:val="7"/>
        </w:numPr>
        <w:spacing w:lineRule="auto"/>
      </w:pPr>
      <w:r>
        <w:rPr>
          <w:b/>
        </w:rPr>
        <w:t xml:space="preserve">Force Majeure</w:t>
      </w:r>
      <w:r>
        <w:rPr/>
        <w:t xml:space="preserve">:</w:t>
      </w:r>
    </w:p>
    <w:p>
      <w:pPr>
        <w:numPr>
          <w:ilvl w:val="1"/>
          <w:numId w:val="9"/>
        </w:numPr>
        <w:spacing w:lineRule="auto"/>
      </w:pPr>
      <w:r>
        <w:rPr/>
        <w:t xml:space="preserve">In geval van onvoorziene omstandigheden zoals natuurrampen, oorlog, of andere externe factoren, zijn wij niet verantwoordelijk voor het niet nakomen van de contractuele verplichtingen.</w:t>
      </w:r>
    </w:p>
    <w:p>
      <w:pPr>
        <w:numPr>
          <w:ilvl w:val="0"/>
          <w:numId w:val="7"/>
        </w:numPr>
        <w:spacing w:lineRule="auto"/>
      </w:pPr>
      <w:r>
        <w:rPr>
          <w:b/>
        </w:rPr>
        <w:t xml:space="preserve">Wijzigingen in Wet- en Regelgeving</w:t>
      </w:r>
      <w:r>
        <w:rPr/>
        <w:t xml:space="preserve">:</w:t>
      </w:r>
    </w:p>
    <w:p>
      <w:pPr>
        <w:numPr>
          <w:ilvl w:val="1"/>
          <w:numId w:val="10"/>
        </w:numPr>
        <w:spacing w:lineRule="auto"/>
      </w:pPr>
      <w:r>
        <w:rPr/>
        <w:t xml:space="preserve">Toepasselijke voorwaarden kunnen veranderen, en InfraTech Solutions B.V. is niet verantwoordelijk voor de gevolgen van veranderingen in wet- en regelgeving, indien deze de uitvoering van het contract beïnvloeden.</w:t>
      </w:r>
    </w:p>
    <w:p>
      <w:pPr>
        <w:pStyle w:val="Heading2"/>
        <w:spacing w:lineRule="auto"/>
      </w:pPr>
      <w:r>
        <w:rPr/>
        <w:t xml:space="preserve">Financiële Consequenties</w:t>
      </w:r>
    </w:p>
    <w:p>
      <w:pPr>
        <w:numPr>
          <w:ilvl w:val="0"/>
          <w:numId w:val="11"/>
        </w:numPr>
        <w:spacing w:lineRule="auto"/>
      </w:pPr>
      <w:r>
        <w:rPr>
          <w:b/>
        </w:rPr>
        <w:t xml:space="preserve">Boetes en Heffingen</w:t>
      </w:r>
      <w:r>
        <w:rPr/>
        <w:t xml:space="preserve">:</w:t>
      </w:r>
    </w:p>
    <w:p>
      <w:pPr>
        <w:numPr>
          <w:ilvl w:val="1"/>
          <w:numId w:val="12"/>
        </w:numPr>
        <w:spacing w:lineRule="auto"/>
      </w:pPr>
      <w:r>
        <w:rPr/>
        <w:t xml:space="preserve">Bij overschrijding van afgesproken deadlines kan de gemeente Utrecht boetes opleggen. De hoogte van deze boetes is conform gemeentelijke richtlijnen.</w:t>
      </w:r>
    </w:p>
    <w:p>
      <w:pPr>
        <w:numPr>
          <w:ilvl w:val="0"/>
          <w:numId w:val="11"/>
        </w:numPr>
        <w:spacing w:lineRule="auto"/>
      </w:pPr>
      <w:r>
        <w:rPr>
          <w:b/>
        </w:rPr>
        <w:t xml:space="preserve">Prijsverhogingen door Toenemende Kosten</w:t>
      </w:r>
      <w:r>
        <w:rPr/>
        <w:t xml:space="preserve">:</w:t>
      </w:r>
    </w:p>
    <w:p>
      <w:pPr>
        <w:numPr>
          <w:ilvl w:val="1"/>
          <w:numId w:val="13"/>
        </w:numPr>
        <w:spacing w:lineRule="auto"/>
      </w:pPr>
      <w:r>
        <w:rPr/>
        <w:t xml:space="preserve">Indien de kosten voor materialen en arbeid substantieel stijgen (meer dan 10% stijging op jaarbasis), behouden wij het recht om heronderhandeling van de prijzen aan te vragen.</w:t>
      </w:r>
    </w:p>
    <w:p>
      <w:pPr>
        <w:numPr>
          <w:ilvl w:val="0"/>
          <w:numId w:val="11"/>
        </w:numPr>
        <w:spacing w:lineRule="auto"/>
      </w:pPr>
      <w:r>
        <w:rPr>
          <w:b/>
        </w:rPr>
        <w:t xml:space="preserve">Verlies van Subsidies</w:t>
      </w:r>
      <w:r>
        <w:rPr/>
        <w:t xml:space="preserve">:</w:t>
      </w:r>
    </w:p>
    <w:p>
      <w:pPr>
        <w:numPr>
          <w:ilvl w:val="1"/>
          <w:numId w:val="14"/>
        </w:numPr>
        <w:spacing w:lineRule="auto"/>
      </w:pPr>
      <w:r>
        <w:rPr/>
        <w:t xml:space="preserve">Indien de gemeente Utrecht een subsidie of financiële steun verliest die eerder was voorzien voor dit project, kan dit gevolgen hebben voor de uitvoering van het project en de financiële afspraken.</w:t>
      </w:r>
    </w:p>
    <w:p>
      <w:pPr>
        <w:pStyle w:val="Heading2"/>
        <w:spacing w:lineRule="auto"/>
      </w:pPr>
      <w:r>
        <w:rPr/>
        <w:t xml:space="preserve">Samenvatting</w:t>
      </w:r>
    </w:p>
    <w:p>
      <w:pPr>
        <w:spacing w:lineRule="auto"/>
      </w:pPr>
      <w:r>
        <w:rPr/>
        <w:t xml:space="preserve">De aannames zijn gericht op een duidelijke communicatie en samenwerking met de opdrachtgever, met als doel het waarborgen van kwaliteit en tijdigheid. De juridische uitsluitingen beschermen zowel de aannemer als de opdrachtgever tegen onvoorziene omstandigheden en aansprakelijkheden. Financiële consequenties zijn duidelijk gespecificeerd, zodat beide partijen zich bewust zijn van de mogelijke risico's en verantwoordelijkheden.</w:t>
      </w:r>
    </w:p>
    <w:p>
      <w:pPr>
        <w:spacing w:lineRule="auto"/>
      </w:pPr>
      <w:r>
        <w:rPr/>
        <w:t xml:space="preserve">Benodigde input: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Segoe U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Segoe UI"/>
        <a:ea typeface="Segoe UI"/>
        <a:cs typeface=""/>
      </a:majorFont>
      <a:minorFont>
        <a:latin typeface="Segoe UI"/>
        <a:ea typeface="Segoe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2025-11-03T21:26:08.170Z</dcterms:created>
  <dcterms:modified xsi:type="dcterms:W3CDTF">2025-11-03T21:26:08.170Z</dcterms:modified>
</cp:coreProperties>
</file>