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footerReference r:id="rId6" w:type="default"/>
    </w:sectPr>
    <w:p>
      <w:pPr>
        <w:spacing w:lineRule="auto"/>
      </w:pPr>
      <w:r>
        <w:rPr/>
        <w:t xml:space="preserve">     </w:t>
      </w:r>
    </w:p>
    <w:p>
      <w:pPr>
        <w:pStyle w:val="Heading1"/>
        <w:spacing w:lineRule="auto"/>
      </w:pPr>
      <w:r>
        <w:rPr/>
        <w:t xml:space="preserve">Beoordelingsmethodiek_EMVI</w:t>
      </w:r>
    </w:p>
    <w:p>
      <w:pPr>
        <w:spacing w:lineRule="auto"/>
      </w:pPr>
      <w:r>
        <w:rPr/>
        <w:t xml:space="preserve">Gegenereerd door TenderAI • 11/3/2025</w:t>
      </w:r>
    </w:p>
    <w:p>
      <w:pPr>
        <w:pStyle w:val="Heading1"/>
        <w:spacing w:lineRule="auto"/>
      </w:pPr>
      <w:r>
        <w:rPr/>
        <w:t xml:space="preserve">Beoordelingsmethodiek voor de EMVI-criteria</w:t>
      </w:r>
    </w:p>
    <w:p>
      <w:pPr>
        <w:spacing w:lineRule="auto"/>
      </w:pPr>
      <w:r>
        <w:rPr/>
        <w:t xml:space="preserve">In dit document worden de BPKV/EMVI-criteria uitgewerkt voor de aanbesteding "Onderhoud en verduurzaming gemeentelijke wegen 2025-2029". De criteria zijn gewogen op basis van hun belangrijkheid voor de Gemeente Utrecht. Voor elk criterium wordt aangegeven wat goed eruitziet, onze invulling, en de gerelateerde W-xx.</w:t>
      </w:r>
    </w:p>
    <w:p>
      <w:pPr>
        <w:pStyle w:val="Heading2"/>
        <w:spacing w:lineRule="auto"/>
      </w:pPr>
      <w:r>
        <w:rPr/>
        <w:t xml:space="preserve">Beoordelingsstructuur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800"/>
        <w:gridCol w:w="1800"/>
        <w:gridCol w:w="1800"/>
        <w:gridCol w:w="1800"/>
        <w:gridCol w:w="1800"/>
        <w:gridCol w:w="18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EMVI-criterium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Weging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Beoordelingsschaal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goed eruitziet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Onze invulling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Gerelateerde W-xx</w:t>
            </w:r>
          </w:p>
        </w:tc>
      </w:tr>
      <w:tblGrid>
        <w:gridCol w:w="1800"/>
        <w:gridCol w:w="1800"/>
        <w:gridCol w:w="1800"/>
        <w:gridCol w:w="1800"/>
        <w:gridCol w:w="1800"/>
        <w:gridCol w:w="18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Kwaliteit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Oplossingen voldoen aan de hoogste kwaliteitsnormen en veiligheid.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Onze werkwijze omvat zorgvuldig kennisbeheer, continue verbeterprocessen, en de inzet van vaktechnisch personeel.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W-01, W-04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Duurzaamheid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Innovatieve en duurzame technieken worden ingezet.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Wij maken gebruik van emissiearm materieel en onze CO₂-prestatieladder niveau 4 reflecteert onze ambitie naar circulariteit.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W-02, W-08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Risicobeheersing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Heldere risico-analyse en daadkrachtige beheersmaatregelen.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Ons risicodossier bevat een uitvoerig overzicht van risico's, impactanalyse en risicobeheersingstrategieën.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W-03, W-09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Competitief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Prijsofferte is eerlijk en transparant vergeleken met de markt.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Onze prijs is marktconform en transparant, met een duidelijke onderbouwing van de kostenstructuur.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W-05, W-06</w:t>
            </w:r>
          </w:p>
        </w:tc>
      </w:tr>
    </w:tbl>
    <w:p>
      <w:pPr>
        <w:spacing w:lineRule="auto"/>
      </w:pPr>
      <w:r>
        <w:rPr/>
      </w:r>
    </w:p>
    <w:p>
      <w:pPr>
        <w:pStyle w:val="Heading3"/>
        <w:spacing w:lineRule="auto"/>
      </w:pPr>
      <w:r>
        <w:rPr/>
        <w:t xml:space="preserve">Kwaliteit (40%)</w:t>
      </w:r>
    </w:p>
    <w:p>
      <w:pPr>
        <w:numPr>
          <w:ilvl w:val="0"/>
          <w:numId w:val="1"/>
        </w:numPr>
        <w:spacing w:lineRule="auto"/>
      </w:pPr>
      <w:r>
        <w:rPr>
          <w:b/>
        </w:rPr>
        <w:t xml:space="preserve">Weging:</w:t>
      </w:r>
      <w:r>
        <w:rPr/>
        <w:t xml:space="preserve"> 40%</w:t>
      </w:r>
    </w:p>
    <w:p>
      <w:pPr>
        <w:numPr>
          <w:ilvl w:val="0"/>
          <w:numId w:val="1"/>
        </w:numPr>
        <w:spacing w:lineRule="auto"/>
      </w:pPr>
      <w:r>
        <w:rPr>
          <w:b/>
        </w:rPr>
        <w:t xml:space="preserve">Beoordelingsschaal:</w:t>
      </w:r>
      <w:r>
        <w:rPr/>
        <w:t xml:space="preserve"> 1-10</w:t>
      </w:r>
    </w:p>
    <w:p>
      <w:pPr>
        <w:numPr>
          <w:ilvl w:val="0"/>
          <w:numId w:val="1"/>
        </w:numPr>
        <w:spacing w:lineRule="auto"/>
      </w:pPr>
      <w:r>
        <w:rPr>
          <w:b/>
        </w:rPr>
        <w:t xml:space="preserve">Wat goed eruitziet:</w:t>
      </w:r>
      <w:r>
        <w:rPr/>
        <w:t xml:space="preserve"> Oplossingen voldoen aan de hoogste kwaliteitsnormen en veiligheid.</w:t>
      </w:r>
    </w:p>
    <w:p>
      <w:pPr>
        <w:numPr>
          <w:ilvl w:val="0"/>
          <w:numId w:val="1"/>
        </w:numPr>
        <w:spacing w:lineRule="auto"/>
      </w:pPr>
      <w:r>
        <w:rPr>
          <w:b/>
        </w:rPr>
        <w:t xml:space="preserve">Onze invulling:</w:t>
      </w:r>
      <w:r>
        <w:rPr/>
        <w:t xml:space="preserve"> We implementeren kwaliteitsbeheersystemen met ISO 9001-certificering en zijn toegewijd aan continue verbetering door middel van training en ontwikkeling van onze medewerkers.</w:t>
      </w:r>
    </w:p>
    <w:p>
      <w:pPr>
        <w:numPr>
          <w:ilvl w:val="0"/>
          <w:numId w:val="1"/>
        </w:numPr>
        <w:spacing w:lineRule="auto"/>
      </w:pPr>
      <w:r>
        <w:rPr>
          <w:b/>
        </w:rPr>
        <w:t xml:space="preserve">Gerelateerde W-xx:</w:t>
      </w:r>
      <w:r>
        <w:rPr/>
        <w:t xml:space="preserve"> W-01: Kwaliteitsmanagement, W-04: Veiligheid.</w:t>
      </w:r>
    </w:p>
    <w:p>
      <w:pPr>
        <w:pStyle w:val="Heading3"/>
        <w:spacing w:lineRule="auto"/>
      </w:pPr>
      <w:r>
        <w:rPr/>
        <w:t xml:space="preserve">Duurzaamheid (20%)</w:t>
      </w:r>
    </w:p>
    <w:p>
      <w:pPr>
        <w:numPr>
          <w:ilvl w:val="0"/>
          <w:numId w:val="2"/>
        </w:numPr>
        <w:spacing w:lineRule="auto"/>
      </w:pPr>
      <w:r>
        <w:rPr>
          <w:b/>
        </w:rPr>
        <w:t xml:space="preserve">Weging:</w:t>
      </w:r>
      <w:r>
        <w:rPr/>
        <w:t xml:space="preserve"> 20%</w:t>
      </w:r>
    </w:p>
    <w:p>
      <w:pPr>
        <w:numPr>
          <w:ilvl w:val="0"/>
          <w:numId w:val="2"/>
        </w:numPr>
        <w:spacing w:lineRule="auto"/>
      </w:pPr>
      <w:r>
        <w:rPr>
          <w:b/>
        </w:rPr>
        <w:t xml:space="preserve">Beoordelingsschaal:</w:t>
      </w:r>
      <w:r>
        <w:rPr/>
        <w:t xml:space="preserve"> 1-10</w:t>
      </w:r>
    </w:p>
    <w:p>
      <w:pPr>
        <w:numPr>
          <w:ilvl w:val="0"/>
          <w:numId w:val="2"/>
        </w:numPr>
        <w:spacing w:lineRule="auto"/>
      </w:pPr>
      <w:r>
        <w:rPr>
          <w:b/>
        </w:rPr>
        <w:t xml:space="preserve">Wat goed eruitziet:</w:t>
      </w:r>
      <w:r>
        <w:rPr/>
        <w:t xml:space="preserve"> Innovatieve en duurzame technieken worden ingezet.</w:t>
      </w:r>
    </w:p>
    <w:p>
      <w:pPr>
        <w:numPr>
          <w:ilvl w:val="0"/>
          <w:numId w:val="2"/>
        </w:numPr>
        <w:spacing w:lineRule="auto"/>
      </w:pPr>
      <w:r>
        <w:rPr>
          <w:b/>
        </w:rPr>
        <w:t xml:space="preserve">Onze invulling:</w:t>
      </w:r>
      <w:r>
        <w:rPr/>
        <w:t xml:space="preserve"> Het gebruik van CO₂-neutrale materialen, recycling waar mogelijk, en het optimaliseren van processen voor materieelgebruik blijken uit ons CO₂-reductieplan.</w:t>
      </w:r>
    </w:p>
    <w:p>
      <w:pPr>
        <w:numPr>
          <w:ilvl w:val="0"/>
          <w:numId w:val="2"/>
        </w:numPr>
        <w:spacing w:lineRule="auto"/>
      </w:pPr>
      <w:r>
        <w:rPr>
          <w:b/>
        </w:rPr>
        <w:t xml:space="preserve">Gerelateerde W-xx:</w:t>
      </w:r>
      <w:r>
        <w:rPr/>
        <w:t xml:space="preserve"> W-02: Duurzaamheidsinitiatieven, W-08: Milieu-impact.</w:t>
      </w:r>
    </w:p>
    <w:p>
      <w:pPr>
        <w:pStyle w:val="Heading3"/>
        <w:spacing w:lineRule="auto"/>
      </w:pPr>
      <w:r>
        <w:rPr/>
        <w:t xml:space="preserve">Risicobeheersing (20%)</w:t>
      </w:r>
    </w:p>
    <w:p>
      <w:pPr>
        <w:numPr>
          <w:ilvl w:val="0"/>
          <w:numId w:val="3"/>
        </w:numPr>
        <w:spacing w:lineRule="auto"/>
      </w:pPr>
      <w:r>
        <w:rPr>
          <w:b/>
        </w:rPr>
        <w:t xml:space="preserve">Weging:</w:t>
      </w:r>
      <w:r>
        <w:rPr/>
        <w:t xml:space="preserve"> 20%</w:t>
      </w:r>
    </w:p>
    <w:p>
      <w:pPr>
        <w:numPr>
          <w:ilvl w:val="0"/>
          <w:numId w:val="3"/>
        </w:numPr>
        <w:spacing w:lineRule="auto"/>
      </w:pPr>
      <w:r>
        <w:rPr>
          <w:b/>
        </w:rPr>
        <w:t xml:space="preserve">Beoordelingsschaal:</w:t>
      </w:r>
      <w:r>
        <w:rPr/>
        <w:t xml:space="preserve"> 1-10</w:t>
      </w:r>
    </w:p>
    <w:p>
      <w:pPr>
        <w:numPr>
          <w:ilvl w:val="0"/>
          <w:numId w:val="3"/>
        </w:numPr>
        <w:spacing w:lineRule="auto"/>
      </w:pPr>
      <w:r>
        <w:rPr>
          <w:b/>
        </w:rPr>
        <w:t xml:space="preserve">Wat goed eruitziet:</w:t>
      </w:r>
      <w:r>
        <w:rPr/>
        <w:t xml:space="preserve"> Heldere risico-analyse en daadkrachtige beheersmaatregelen.</w:t>
      </w:r>
    </w:p>
    <w:p>
      <w:pPr>
        <w:numPr>
          <w:ilvl w:val="0"/>
          <w:numId w:val="3"/>
        </w:numPr>
        <w:spacing w:lineRule="auto"/>
      </w:pPr>
      <w:r>
        <w:rPr>
          <w:b/>
        </w:rPr>
        <w:t xml:space="preserve">Onze invulling:</w:t>
      </w:r>
      <w:r>
        <w:rPr/>
        <w:t xml:space="preserve"> Wij stellen een risicodossier op waarin mogelijke risico's worden geanalyseerd en beheersmaatregelen worden voorgesteld gebaseerd op onze ervaring in soortgelijke projecten.</w:t>
      </w:r>
    </w:p>
    <w:p>
      <w:pPr>
        <w:numPr>
          <w:ilvl w:val="0"/>
          <w:numId w:val="3"/>
        </w:numPr>
        <w:spacing w:lineRule="auto"/>
      </w:pPr>
      <w:r>
        <w:rPr>
          <w:b/>
        </w:rPr>
        <w:t xml:space="preserve">Gerelateerde W-xx:</w:t>
      </w:r>
      <w:r>
        <w:rPr/>
        <w:t xml:space="preserve"> W-03: Risicomanagement, W-09: Crisisbeheersing.</w:t>
      </w:r>
    </w:p>
    <w:p>
      <w:pPr>
        <w:pStyle w:val="Heading3"/>
        <w:spacing w:lineRule="auto"/>
      </w:pPr>
      <w:r>
        <w:rPr/>
        <w:t xml:space="preserve">Prijs (20%)</w:t>
      </w:r>
    </w:p>
    <w:p>
      <w:pPr>
        <w:numPr>
          <w:ilvl w:val="0"/>
          <w:numId w:val="4"/>
        </w:numPr>
        <w:spacing w:lineRule="auto"/>
      </w:pPr>
      <w:r>
        <w:rPr>
          <w:b/>
        </w:rPr>
        <w:t xml:space="preserve">Weging:</w:t>
      </w:r>
      <w:r>
        <w:rPr/>
        <w:t xml:space="preserve"> 20%</w:t>
      </w:r>
    </w:p>
    <w:p>
      <w:pPr>
        <w:numPr>
          <w:ilvl w:val="0"/>
          <w:numId w:val="4"/>
        </w:numPr>
        <w:spacing w:lineRule="auto"/>
      </w:pPr>
      <w:r>
        <w:rPr>
          <w:b/>
        </w:rPr>
        <w:t xml:space="preserve">Beoordelingsschaal:</w:t>
      </w:r>
      <w:r>
        <w:rPr/>
        <w:t xml:space="preserve"> Competitief</w:t>
      </w:r>
    </w:p>
    <w:p>
      <w:pPr>
        <w:numPr>
          <w:ilvl w:val="0"/>
          <w:numId w:val="4"/>
        </w:numPr>
        <w:spacing w:lineRule="auto"/>
      </w:pPr>
      <w:r>
        <w:rPr>
          <w:b/>
        </w:rPr>
        <w:t xml:space="preserve">Wat goed eruitziet:</w:t>
      </w:r>
      <w:r>
        <w:rPr/>
        <w:t xml:space="preserve"> Prijsofferte is eerlijk en transparant vergeleken met de markt.</w:t>
      </w:r>
    </w:p>
    <w:p>
      <w:pPr>
        <w:numPr>
          <w:ilvl w:val="0"/>
          <w:numId w:val="4"/>
        </w:numPr>
        <w:spacing w:lineRule="auto"/>
      </w:pPr>
      <w:r>
        <w:rPr>
          <w:b/>
        </w:rPr>
        <w:t xml:space="preserve">Onze invulling:</w:t>
      </w:r>
      <w:r>
        <w:rPr/>
        <w:t xml:space="preserve"> Onze prijsstelling is gebaseerd op realistische kostenprognoses, met een duidelijke uiteenzetting van de prijsstructuur en bijbehorende waarde.</w:t>
      </w:r>
    </w:p>
    <w:p>
      <w:pPr>
        <w:numPr>
          <w:ilvl w:val="0"/>
          <w:numId w:val="4"/>
        </w:numPr>
        <w:spacing w:lineRule="auto"/>
      </w:pPr>
      <w:r>
        <w:rPr>
          <w:b/>
        </w:rPr>
        <w:t xml:space="preserve">Gerelateerde W-xx:</w:t>
      </w:r>
      <w:r>
        <w:rPr/>
        <w:t xml:space="preserve"> W-05: Kostenbeheersing, W-06: Waarde in ruil.</w:t>
      </w:r>
    </w:p>
    <w:p>
      <w:pPr>
        <w:pStyle w:val="Heading2"/>
        <w:spacing w:lineRule="auto"/>
      </w:pPr>
      <w:r>
        <w:rPr/>
        <w:t xml:space="preserve">Conclusie</w:t>
      </w:r>
    </w:p>
    <w:p>
      <w:pPr>
        <w:spacing w:lineRule="auto"/>
      </w:pPr>
      <w:r>
        <w:rPr/>
        <w:t xml:space="preserve">Voor de Gemeente Utrecht is de combinatie van kwaliteit, duurzaamheid, risicobeheersing en prijs essentieel. InfraTech Solutions B.V. zet zich in om deze waarden te waarborgen en streeft naar een optimale samenwerking bij het onderhoud en de verduurzaming van gemeentelijke wegen.</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2025-11-03T21:26:08.170Z</dcterms:created>
  <dcterms:modified xsi:type="dcterms:W3CDTF">2025-11-03T21:26:08.170Z</dcterms:modified>
</cp:coreProperties>
</file>