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Compliance_Matrix</w:t>
      </w:r>
    </w:p>
    <w:p>
      <w:pPr>
        <w:spacing w:lineRule="auto"/>
      </w:pPr>
      <w:r>
        <w:rPr/>
        <w:t xml:space="preserve">Gegenereerd door TenderAI • 11/3/2025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InfraTech Solutions B.V. heeft de ISO 9001 certificering, wat de kwaliteitsborging waarborgt.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Certificaat ISO 9001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14001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InfraTech Solutions B.V. is gecertificeerd volgens ISO 14001, wat een focus op milieumanagement aantoont.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Certificaat ISO 14001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storingsdienst met responstijd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InfraTech biedt een 24/7 storingsdienst aan met een bewezen responstijd die voldoet aan de eis.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Gegevens responstijd storingsdienst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emissiearm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organisatie maakt uitsluitend gebruik van emissiearm materieel voor al zijn werkzaamheden.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Lijst emissiearm materieel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weekrapportages via gemeentelijk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Rapportages worden wekelijks digitaal aangeleverd via het GIS-portaal, waar dit aantoonbaar 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Voorbeeld weekrapportage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behandeling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wordt opgesteld en zal aan de vereiste eisen voldoen.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behandeling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 wordt gecreëerd om risico's te beheersen en te rapporteren.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behandeling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wordt georganiseerd om de projectvoortgang te monitoren conform de gemaakte afspraken.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Feedbackmechanismen zijn ingericht om een klanttevredenheid van minimaal 8 te waarborgen.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Bevestigde responstijden tonen dat de storingsdienst binnen deze tijdslimiet werkt.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 tijdslimiet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 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de afgelopen projecten zijn alle opleveringen binnen de afgesproken tijdslimieten gerealiseerd.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Opleveringsrapporten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