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720" w:right="720" w:bottom="720" w:left="720" w:header="undefined" w:footer="undefined" w:gutter="undefined"/>
      <w:footerReference r:id="rId6" w:type="default"/>
    </w:sectPr>
    <w:p>
      <w:pPr>
        <w:spacing w:lineRule="auto"/>
      </w:pPr>
      <w:r>
        <w:rPr/>
        <w:t xml:space="preserve">     </w:t>
      </w:r>
    </w:p>
    <w:p>
      <w:pPr>
        <w:pStyle w:val="Heading1"/>
        <w:spacing w:lineRule="auto"/>
      </w:pPr>
      <w:r>
        <w:rPr/>
        <w:t xml:space="preserve">EMVI</w:t>
      </w:r>
    </w:p>
    <w:p>
      <w:pPr>
        <w:spacing w:lineRule="auto"/>
      </w:pPr>
      <w:r>
        <w:rPr/>
        <w:t xml:space="preserve">Gegenereerd door TenderAI • 11/3/2025</w:t>
      </w:r>
    </w:p>
    <w:p>
      <w:pPr>
        <w:pStyle w:val="Heading1"/>
        <w:spacing w:lineRule="auto"/>
      </w:pPr>
      <w:r>
        <w:rPr/>
        <w:t xml:space="preserve">EMVI / Plan van Aanpak</w:t>
      </w:r>
    </w:p>
    <w:p>
      <w:pPr>
        <w:pStyle w:val="Heading2"/>
        <w:spacing w:lineRule="auto"/>
      </w:pPr>
      <w:r>
        <w:rPr/>
        <w:t xml:space="preserve">Samenvatting</w:t>
      </w:r>
    </w:p>
    <w:p>
      <w:pPr>
        <w:spacing w:lineRule="auto"/>
      </w:pPr>
      <w:r>
        <w:rPr/>
        <w:t xml:space="preserve">InfraTech Solutions B.V. stelt voor om de gemeente Utrecht van 2025 tot 2029 te ondersteunen bij het onderhoud en de verduurzaming van gemeentelijke wegen. Ons plan richt zich op zowel preventief als correctief onderhoud aan asfalt- en klinkerverhardingen, inclusief inspectie, herstel, herprofilering, voegvulling, markering en uitvoering van winterdienst. We benadrukken een CO₂-reductieplan en het gebruik van emissiearm materieel, gekoppeld aan effectieve verkeersveiligheidsmaatregelen. Onze aanpak zorgt voor digitale oplevering via het gemeentelijke GIS-portaal, wat bijdraagt aan transparantie en efficiëntie.</w:t>
      </w:r>
    </w:p>
    <w:p>
      <w:pPr>
        <w:pStyle w:val="Heading2"/>
        <w:spacing w:lineRule="auto"/>
      </w:pPr>
      <w:r>
        <w:rPr/>
        <w:t xml:space="preserve">Begrip</w:t>
      </w:r>
    </w:p>
    <w:p>
      <w:pPr>
        <w:spacing w:lineRule="auto"/>
      </w:pPr>
      <w:r>
        <w:rPr/>
        <w:t xml:space="preserve">De opdracht betreft een raamovereenkomst voor het onderhoud en de verduurzaming van wegen. Ons doel is om kwaliteitswinst, duurzaamheid en risico’s effectief te beheren. Onze expertise als gecertificeerd GWW-aannemer met meer dan 20 jaar ervaring, ondersteund door AI-gestuurde planning en datagedreven onderhoud, legt de basis voor een structurele verbetering van de infrastructuur in Utrecht.</w:t>
      </w:r>
    </w:p>
    <w:p>
      <w:pPr>
        <w:pStyle w:val="Heading2"/>
        <w:spacing w:lineRule="auto"/>
      </w:pPr>
      <w:r>
        <w:rPr/>
        <w:t xml:space="preserve">Aanpak</w:t>
      </w:r>
    </w:p>
    <w:p>
      <w:pPr>
        <w:spacing w:lineRule="auto"/>
      </w:pPr>
      <w:r>
        <w:rPr/>
        <w:t xml:space="preserve">Onze aanpak volgt het PDCA-principe (Plan-Do-Check-Act):</w:t>
      </w:r>
    </w:p>
    <w:p>
      <w:pPr>
        <w:numPr>
          <w:ilvl w:val="0"/>
          <w:numId w:val="1"/>
        </w:numPr>
        <w:spacing w:lineRule="auto"/>
      </w:pPr>
      <w:r>
        <w:rPr>
          <w:b/>
        </w:rPr>
        <w:t xml:space="preserve">Plan</w:t>
      </w:r>
      <w:r>
        <w:rPr/>
        <w:t xml:space="preserve">:</w:t>
      </w:r>
    </w:p>
    <w:p>
      <w:pPr>
        <w:numPr>
          <w:ilvl w:val="1"/>
          <w:numId w:val="2"/>
        </w:numPr>
        <w:spacing w:lineRule="auto"/>
      </w:pPr>
      <w:r>
        <w:rPr/>
        <w:t xml:space="preserve">Oplevering van een gedetailleerd Plan van Aanpak binnen 4 weken na gunning.</w:t>
      </w:r>
    </w:p>
    <w:p>
      <w:pPr>
        <w:numPr>
          <w:ilvl w:val="1"/>
          <w:numId w:val="2"/>
        </w:numPr>
        <w:spacing w:lineRule="auto"/>
      </w:pPr>
      <w:r>
        <w:rPr/>
        <w:t xml:space="preserve">Opstellen van een Risicodossier met identificatie van mogelijke risico’s en bijbehorende beheersmaatregelen.</w:t>
      </w:r>
    </w:p>
    <w:p>
      <w:pPr>
        <w:numPr>
          <w:ilvl w:val="0"/>
          <w:numId w:val="1"/>
        </w:numPr>
        <w:spacing w:lineRule="auto"/>
      </w:pPr>
      <w:r>
        <w:rPr>
          <w:b/>
        </w:rPr>
        <w:t xml:space="preserve">Do</w:t>
      </w:r>
      <w:r>
        <w:rPr/>
        <w:t xml:space="preserve">:</w:t>
      </w:r>
    </w:p>
    <w:p>
      <w:pPr>
        <w:numPr>
          <w:ilvl w:val="1"/>
          <w:numId w:val="3"/>
        </w:numPr>
        <w:spacing w:lineRule="auto"/>
      </w:pPr>
      <w:r>
        <w:rPr/>
        <w:t xml:space="preserve">Uitvoering van het onderhoud met een 24/7 storingsdienst, waarbij storingsmeldingen binnen 2 uur worden opgepakt (KPI: responstijd storingen ≤ 2 uur).</w:t>
      </w:r>
    </w:p>
    <w:p>
      <w:pPr>
        <w:numPr>
          <w:ilvl w:val="1"/>
          <w:numId w:val="3"/>
        </w:numPr>
        <w:spacing w:lineRule="auto"/>
      </w:pPr>
      <w:r>
        <w:rPr/>
        <w:t xml:space="preserve">Wekelijkse digitale rapportages via het gemeentelijk GIS-portaal om transparantie te waarborgen.</w:t>
      </w:r>
    </w:p>
    <w:p>
      <w:pPr>
        <w:numPr>
          <w:ilvl w:val="0"/>
          <w:numId w:val="1"/>
        </w:numPr>
        <w:spacing w:lineRule="auto"/>
      </w:pPr>
      <w:r>
        <w:rPr>
          <w:b/>
        </w:rPr>
        <w:t xml:space="preserve">Check</w:t>
      </w:r>
      <w:r>
        <w:rPr/>
        <w:t xml:space="preserve">:</w:t>
      </w:r>
    </w:p>
    <w:p>
      <w:pPr>
        <w:numPr>
          <w:ilvl w:val="1"/>
          <w:numId w:val="4"/>
        </w:numPr>
        <w:spacing w:lineRule="auto"/>
      </w:pPr>
      <w:r>
        <w:rPr/>
        <w:t xml:space="preserve">Maandelijkse evaluatie van klanttevredenheid met een streefcijfer van ≥ 8,0.</w:t>
      </w:r>
    </w:p>
    <w:p>
      <w:pPr>
        <w:numPr>
          <w:ilvl w:val="1"/>
          <w:numId w:val="4"/>
        </w:numPr>
        <w:spacing w:lineRule="auto"/>
      </w:pPr>
      <w:r>
        <w:rPr/>
        <w:t xml:space="preserve">Monitoring van opleveringen met een doelstelling van ≥ 95% binnen afgesproken planning.</w:t>
      </w:r>
    </w:p>
    <w:p>
      <w:pPr>
        <w:numPr>
          <w:ilvl w:val="0"/>
          <w:numId w:val="1"/>
        </w:numPr>
        <w:spacing w:lineRule="auto"/>
      </w:pPr>
      <w:r>
        <w:rPr>
          <w:b/>
        </w:rPr>
        <w:t xml:space="preserve">Act</w:t>
      </w:r>
      <w:r>
        <w:rPr/>
        <w:t xml:space="preserve">:</w:t>
      </w:r>
    </w:p>
    <w:p>
      <w:pPr>
        <w:numPr>
          <w:ilvl w:val="1"/>
          <w:numId w:val="5"/>
        </w:numPr>
        <w:spacing w:lineRule="auto"/>
      </w:pPr>
      <w:r>
        <w:rPr/>
        <w:t xml:space="preserve">Bijstelling van processen en uitvoering op basis van evaluatiefeedback en KPI-resultaten.</w:t>
      </w:r>
    </w:p>
    <w:p>
      <w:pPr>
        <w:pStyle w:val="Heading2"/>
        <w:spacing w:lineRule="auto"/>
      </w:pPr>
      <w:r>
        <w:rPr/>
        <w:t xml:space="preserve">Borging</w:t>
      </w:r>
    </w:p>
    <w:p>
      <w:pPr>
        <w:spacing w:lineRule="auto"/>
      </w:pPr>
      <w:r>
        <w:rPr/>
        <w:t xml:space="preserve">Om de borging van kwaliteit en duurzaamheid te waarborgen, hanteren we de volgende maatregelen:</w:t>
      </w:r>
    </w:p>
    <w:p>
      <w:pPr>
        <w:numPr>
          <w:ilvl w:val="0"/>
          <w:numId w:val="6"/>
        </w:numPr>
        <w:spacing w:lineRule="auto"/>
      </w:pPr>
      <w:r>
        <w:rPr/>
        <w:t xml:space="preserve">Continue opleiding van personeel met betrekking tot duurzame technieken en normen.</w:t>
      </w:r>
    </w:p>
    <w:p>
      <w:pPr>
        <w:numPr>
          <w:ilvl w:val="0"/>
          <w:numId w:val="6"/>
        </w:numPr>
        <w:spacing w:lineRule="auto"/>
      </w:pPr>
      <w:r>
        <w:rPr/>
        <w:t xml:space="preserve">Jaarlijkse interne audits om de naleving van de ISO 9001 en ISO 14001 certificeringen te garanderen.</w:t>
      </w:r>
    </w:p>
    <w:p>
      <w:pPr>
        <w:numPr>
          <w:ilvl w:val="0"/>
          <w:numId w:val="6"/>
        </w:numPr>
        <w:spacing w:lineRule="auto"/>
      </w:pPr>
      <w:r>
        <w:rPr/>
        <w:t xml:space="preserve">CO₂-prestatieladder niveau 4 om onze inspanningen op het gebied van circulaire economie te monitoren.</w:t>
      </w:r>
    </w:p>
    <w:p>
      <w:pPr>
        <w:pStyle w:val="Heading2"/>
        <w:spacing w:lineRule="auto"/>
      </w:pPr>
      <w:r>
        <w:rPr/>
        <w:t xml:space="preserve">Duurzaamheid</w:t>
      </w:r>
    </w:p>
    <w:p>
      <w:pPr>
        <w:spacing w:lineRule="auto"/>
      </w:pPr>
      <w:r>
        <w:rPr/>
        <w:t xml:space="preserve">Onze duurzaamheidsstrategie omvat:</w:t>
      </w:r>
    </w:p>
    <w:p>
      <w:pPr>
        <w:numPr>
          <w:ilvl w:val="0"/>
          <w:numId w:val="7"/>
        </w:numPr>
        <w:spacing w:lineRule="auto"/>
      </w:pPr>
      <w:r>
        <w:rPr/>
        <w:t xml:space="preserve">Het gebruik van emissiearm materieel tijdens werkzaamheden.</w:t>
      </w:r>
    </w:p>
    <w:p>
      <w:pPr>
        <w:numPr>
          <w:ilvl w:val="0"/>
          <w:numId w:val="7"/>
        </w:numPr>
        <w:spacing w:lineRule="auto"/>
      </w:pPr>
      <w:r>
        <w:rPr/>
        <w:t xml:space="preserve">Materiaalgebruik dat bijdraagt aan circulariteit en reductie van CO₂-uitstoot.</w:t>
      </w:r>
    </w:p>
    <w:p>
      <w:pPr>
        <w:numPr>
          <w:ilvl w:val="0"/>
          <w:numId w:val="7"/>
        </w:numPr>
        <w:spacing w:lineRule="auto"/>
      </w:pPr>
      <w:r>
        <w:rPr/>
        <w:t xml:space="preserve">Implementatie van innovatieve oplossingen die zowel de ecologische impact minimaliseren als de levensduur van de infrastructuur verlengen.</w:t>
      </w:r>
    </w:p>
    <w:p>
      <w:pPr>
        <w:pStyle w:val="Heading2"/>
        <w:spacing w:lineRule="auto"/>
      </w:pPr>
      <w:r>
        <w:rPr/>
        <w:t xml:space="preserve">Risico’s</w:t>
      </w:r>
    </w:p>
    <w:p>
      <w:pPr>
        <w:spacing w:lineRule="auto"/>
      </w:pPr>
      <w:r>
        <w:rPr/>
        <w:t xml:space="preserve">Risico's die verband houden met het project zijn onder andere:</w:t>
      </w:r>
    </w:p>
    <w:p>
      <w:pPr>
        <w:numPr>
          <w:ilvl w:val="0"/>
          <w:numId w:val="8"/>
        </w:numPr>
        <w:spacing w:lineRule="auto"/>
      </w:pPr>
      <w:r>
        <w:rPr>
          <w:b/>
        </w:rPr>
        <w:t xml:space="preserve">Vertraagde projecten</w:t>
      </w:r>
      <w:r>
        <w:rPr/>
        <w:t xml:space="preserve">: Dit kan leiden tot ontevredenheid bij de gemeente en de burger. Acties: Strikte planning en regelmatige evaluaties (KPI: ≥ 95% opleveringen binnen planning).</w:t>
      </w:r>
    </w:p>
    <w:p>
      <w:pPr>
        <w:numPr>
          <w:ilvl w:val="0"/>
          <w:numId w:val="8"/>
        </w:numPr>
        <w:spacing w:lineRule="auto"/>
      </w:pPr>
      <w:r>
        <w:rPr>
          <w:b/>
        </w:rPr>
        <w:t xml:space="preserve">Onvoldoende klanttevredenheid</w:t>
      </w:r>
      <w:r>
        <w:rPr/>
        <w:t xml:space="preserve">: Dit kan leiden tot reputatieschade. Acties: Actieve monitoring en klantfeedbacksystemen (KPI: Klanttevredenheid ≥ 8,0).</w:t>
      </w:r>
    </w:p>
    <w:p>
      <w:pPr>
        <w:numPr>
          <w:ilvl w:val="0"/>
          <w:numId w:val="8"/>
        </w:numPr>
        <w:spacing w:lineRule="auto"/>
      </w:pPr>
      <w:r>
        <w:rPr>
          <w:b/>
        </w:rPr>
        <w:t xml:space="preserve">Milieu-impact</w:t>
      </w:r>
      <w:r>
        <w:rPr/>
        <w:t xml:space="preserve">: Onvoldoende CO₂-reductie of verkeerd gebruik van materialen. Acties: Strikte richtlijnen en rapportages.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W-xx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Risico</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Kwaliteit uitvoering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Klanttevredenheid ≥ 8,0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Onvoldoende klanttevredenheid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Duurzaamheid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CO₂-reductie inzicht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Milieu-impact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Risicobeheersing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Responstijd ≤ 2 uur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Vertraagde projecten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Opleveringen ≥ 95%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Financiële overschrijding</w:t>
            </w:r>
          </w:p>
        </w:tc>
      </w:tr>
    </w:tbl>
    <w:p>
      <w:pPr>
        <w:spacing w:lineRule="auto"/>
      </w:pPr>
      <w:r>
        <w:rPr/>
      </w:r>
    </w:p>
    <w:p>
      <w:pPr>
        <w:pStyle w:val="Heading2"/>
        <w:spacing w:lineRule="auto"/>
      </w:pPr>
      <w:r>
        <w:rPr/>
        <w:t xml:space="preserve">Organisatie</w:t>
      </w:r>
    </w:p>
    <w:p>
      <w:pPr>
        <w:spacing w:lineRule="auto"/>
      </w:pPr>
      <w:r>
        <w:rPr/>
        <w:t xml:space="preserve">Onze projectorganisatie is ingericht op basis van duidelijke verantwoordelijkheden. Sleutelfiguren zijn:</w:t>
      </w:r>
    </w:p>
    <w:p>
      <w:pPr>
        <w:numPr>
          <w:ilvl w:val="0"/>
          <w:numId w:val="9"/>
        </w:numPr>
        <w:spacing w:lineRule="auto"/>
      </w:pPr>
      <w:r>
        <w:rPr/>
        <w:t xml:space="preserve">Projectmanager: Reactie op klantvragen en aansturing van het projectteam.</w:t>
      </w:r>
    </w:p>
    <w:p>
      <w:pPr>
        <w:numPr>
          <w:ilvl w:val="0"/>
          <w:numId w:val="9"/>
        </w:numPr>
        <w:spacing w:lineRule="auto"/>
      </w:pPr>
      <w:r>
        <w:rPr/>
        <w:t xml:space="preserve">Technisch specialist: Verantwoordelijk voor kwaliteitsborging en milieuoverwegingen.</w:t>
      </w:r>
    </w:p>
    <w:p>
      <w:pPr>
        <w:numPr>
          <w:ilvl w:val="0"/>
          <w:numId w:val="9"/>
        </w:numPr>
        <w:spacing w:lineRule="auto"/>
      </w:pPr>
      <w:r>
        <w:rPr/>
        <w:t xml:space="preserve">Communicatie verantwoordelijke: Afstemming met de gemeente en het verzorgen van rapportages.</w:t>
      </w:r>
    </w:p>
    <w:p>
      <w:pPr>
        <w:pStyle w:val="Heading2"/>
        <w:spacing w:lineRule="auto"/>
      </w:pPr>
      <w:r>
        <w:rPr/>
        <w:t xml:space="preserve">Programma van Wensen</w:t>
      </w:r>
    </w:p>
    <w:p>
      <w:pPr>
        <w:spacing w:lineRule="auto"/>
      </w:pPr>
      <w:r>
        <w:rPr/>
        <w:t xml:space="preserve">We voldoen aan de eisen en wensen van de gemeente Utrecht door het opstellen van een Programma van Wensen. We zetten ons in om een samenhangend, effectief en duurzaam proces te realiseren door onze unieke kwaliteiten en competities.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W-04</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Emissiearm materieel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Digitale weekrapportages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ISO 9001 certificering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CO₂-prestatieladder niveau 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24/7 storingsdienst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Continuïteit van de dienstverlening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Uitvoering binnen budget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Gebruik van herbruikbare materialen</w:t>
            </w:r>
          </w:p>
        </w:tc>
      </w:tr>
    </w:tbl>
    <w:p>
      <w:pPr>
        <w:spacing w:lineRule="auto"/>
      </w:pPr>
      <w:r>
        <w:rPr/>
      </w:r>
    </w:p>
    <w:p>
      <w:pPr>
        <w:pStyle w:val="Heading2"/>
        <w:spacing w:lineRule="auto"/>
      </w:pPr>
      <w:r>
        <w:rPr/>
        <w:t xml:space="preserve">KPI/SLA Samenvatting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KPI/SLA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Doelstelling</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Klanttevredenheid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8,0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Responstijd storingen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2 uur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Opleveringen binnen planning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95%</w:t>
            </w:r>
          </w:p>
        </w:tc>
      </w:tr>
    </w:tbl>
    <w:p>
      <w:pPr>
        <w:spacing w:lineRule="auto"/>
      </w:pPr>
      <w:r>
        <w:rPr/>
      </w:r>
    </w:p>
    <w:p>
      <w:pPr>
        <w:pStyle w:val="Heading2"/>
        <w:spacing w:lineRule="auto"/>
      </w:pPr>
      <w:r>
        <w:rPr/>
        <w:t xml:space="preserve">Conclusie</w:t>
      </w:r>
    </w:p>
    <w:p>
      <w:pPr>
        <w:spacing w:lineRule="auto"/>
      </w:pPr>
      <w:r>
        <w:rPr/>
        <w:t xml:space="preserve">InfraTech Solutions B.V. is de ideale partner voor de gemeente Utrecht in de periode 2025-2029 voor het onderhoud en de verduurzaming van gemeentelijke wegen. Met onze ervaring, certificeringen en innovatieve aanpak zijn wij goed uitgerust om kwaliteitsvolle en duurzame resultaten te leveren. Wij kijken ernaar uit om een waardevolle bijdrage te leveren aan de infrastructuur van Utrecht.</w:t>
      </w:r>
    </w:p>
    <w:p>
      <w:pPr>
        <w:pStyle w:val="Heading2"/>
        <w:spacing w:lineRule="auto"/>
      </w:pPr>
      <w:r>
        <w:rPr/>
        <w:t xml:space="preserve">Conclusie / Meerwaarde</w:t>
      </w:r>
    </w:p>
    <w:p>
      <w:pPr>
        <w:spacing w:lineRule="auto"/>
      </w:pPr>
      <w:r>
        <w:rPr/>
        <w:t xml:space="preserve">Onze aanpak borgt meetbare prestaties via PDCA, een sluitende KPI/SLA-set en aantoonbare risicoreductie. We koppelen ieder W-xx aan KPI’s en beheersmaatregelen, leveren bewijslast per bijlage en rapporteren transparant op frequenties die aansluiten bij de opdrachtgever. Daarmee maximaliseren we BPKV-scores, reduceren faalkosten en versnellen oplevering.</w:t>
      </w:r>
    </w:p>
    <w:p>
      <w:pPr>
        <w:spacing w:lineRule="auto"/>
      </w:pPr>
      <w:r>
        <w:rPr/>
        <w:t xml:space="preserve">Benodigde input: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Segoe U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Segoe UI"/>
        <a:ea typeface="Segoe UI"/>
        <a:cs typeface=""/>
      </a:majorFont>
      <a:minorFont>
        <a:latin typeface="Segoe UI"/>
        <a:ea typeface="Segoe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2025-11-03T21:26:08.170Z</dcterms:created>
  <dcterms:modified xsi:type="dcterms:W3CDTF">2025-11-03T21:26:08.170Z</dcterms:modified>
</cp:coreProperties>
</file>