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— InfraTech Solutions B.V. (Utrecht) — UTR-MAINT-2025-041</w:t>
      </w:r>
    </w:p>
    <w:p>
      <w:pPr>
        <w:spacing w:lineRule="auto"/>
      </w:pPr>
      <w:r>
        <w:rPr/>
        <w:t xml:space="preserve">Doel en reikwijdte</w:t>
      </w:r>
    </w:p>
    <w:p>
      <w:pPr>
        <w:numPr>
          <w:ilvl w:val="0"/>
          <w:numId w:val="1"/>
        </w:numPr>
        <w:spacing w:lineRule="auto"/>
      </w:pPr>
      <w:r>
        <w:rPr/>
        <w:t xml:space="preserve">Reikwijdte: preventief en correctief onderhoud aan asfalt- en klinkerverhardingen binnen gemeente Utrecht, inclusief inspectie, herstel, herprofilering, voegvulling, markering en winterdienst; digitale weekrapportages via gemeentelijk GIS-portaal en inzet emissiearm materieel. Toepassing binnen alle gemeentelijke wegen, paden en parkeervakken die door opdrachtgever worden aangewezen via opdrachtbonnen/werkpakketten.</w:t>
      </w:r>
    </w:p>
    <w:p>
      <w:pPr>
        <w:numPr>
          <w:ilvl w:val="0"/>
          <w:numId w:val="1"/>
        </w:numPr>
        <w:spacing w:lineRule="auto"/>
      </w:pPr>
      <w:r>
        <w:rPr/>
        <w:t xml:space="preserve">Contractvorm: aangenomen als raamovereenkomst voor werken en diensten 2025–2029; afroep via deelopdrachten met RAW-activiteiten en eenheidsprijzen.</w:t>
      </w:r>
    </w:p>
    <w:p>
      <w:pPr>
        <w:numPr>
          <w:ilvl w:val="0"/>
          <w:numId w:val="1"/>
        </w:numPr>
        <w:spacing w:lineRule="auto"/>
      </w:pPr>
      <w:r>
        <w:rPr/>
        <w:t xml:space="preserve">Kwaliteitskader: uitvoering onder UAV 2012; aanbestedingsrechtelijke kaders conform ARW 2016. KO: ISO 9001 en ISO 14001 worden volledig geborgd. VCA** en CO₂-prestatieladder niveau 4 van toepassing.</w:t>
      </w:r>
    </w:p>
    <w:p>
      <w:pPr>
        <w:spacing w:lineRule="auto"/>
      </w:pPr>
      <w:r>
        <w:rPr/>
        <w:t xml:space="preserve">SMART-aannames (operationeel)</w:t>
      </w:r>
    </w:p>
    <w:p>
      <w:pPr>
        <w:numPr>
          <w:ilvl w:val="0"/>
          <w:numId w:val="2"/>
        </w:numPr>
        <w:spacing w:lineRule="auto"/>
      </w:pPr>
      <w:r>
        <w:rPr/>
        <w:t xml:space="preserve">Bereikbaarheid storingsdienst: 24/7 bemand meldpunt, responstijd ≤ 2 uur binnen gemeentegrenzen, gemeten van melding tot aankomst ter plaatse (SLA).</w:t>
      </w:r>
    </w:p>
    <w:p>
      <w:pPr>
        <w:numPr>
          <w:ilvl w:val="0"/>
          <w:numId w:val="2"/>
        </w:numPr>
        <w:spacing w:lineRule="auto"/>
      </w:pPr>
      <w:r>
        <w:rPr/>
        <w:t xml:space="preserve">Werkvensters: regulier ma–vr 07:00–19:00; nacht/weekend uitsluitend voor storingen, winterdienst, of expliciet door gemeente verzocht.</w:t>
      </w:r>
    </w:p>
    <w:p>
      <w:pPr>
        <w:numPr>
          <w:ilvl w:val="0"/>
          <w:numId w:val="2"/>
        </w:numPr>
        <w:spacing w:lineRule="auto"/>
      </w:pPr>
      <w:r>
        <w:rPr/>
        <w:t xml:space="preserve">Materieel: min. 90% van draaiuren op Zero-Emission/Stage V/HVO100; geen inzet van Stage &lt; V.</w:t>
      </w:r>
    </w:p>
    <w:p>
      <w:pPr>
        <w:numPr>
          <w:ilvl w:val="0"/>
          <w:numId w:val="2"/>
        </w:numPr>
        <w:spacing w:lineRule="auto"/>
      </w:pPr>
      <w:r>
        <w:rPr/>
        <w:t xml:space="preserve">Inspectiefrequentie: preventieve schouw 1× per kwartaal per wijk met foto- en conditieclassificatie (CROW-standaard), binnen 10 werkdagen gerapporteerd.</w:t>
      </w:r>
    </w:p>
    <w:p>
      <w:pPr>
        <w:numPr>
          <w:ilvl w:val="0"/>
          <w:numId w:val="2"/>
        </w:numPr>
        <w:spacing w:lineRule="auto"/>
      </w:pPr>
      <w:r>
        <w:rPr/>
        <w:t xml:space="preserve">Markering: toepassing CROW-richtlijnen en RVV; garantie reflectiewaarde conform productblad, minimaal 12 maanden.</w:t>
      </w:r>
    </w:p>
    <w:p>
      <w:pPr>
        <w:numPr>
          <w:ilvl w:val="0"/>
          <w:numId w:val="2"/>
        </w:numPr>
        <w:spacing w:lineRule="auto"/>
      </w:pPr>
      <w:r>
        <w:rPr/>
        <w:t xml:space="preserve">Winterdienst: start op basis van gemeentelijke gladheidsmelding; uitruk binnen 30 minuten; route-afronding binnen 3 uur na start, herhaling conform meteorologische noodzaak.</w:t>
      </w:r>
    </w:p>
    <w:p>
      <w:pPr>
        <w:spacing w:lineRule="auto"/>
      </w:pPr>
      <w:r>
        <w:rPr/>
        <w:t xml:space="preserve">SMART-aannames (digitaal en data)</w:t>
      </w:r>
    </w:p>
    <w:p>
      <w:pPr>
        <w:numPr>
          <w:ilvl w:val="0"/>
          <w:numId w:val="3"/>
        </w:numPr>
        <w:spacing w:lineRule="auto"/>
      </w:pPr>
      <w:r>
        <w:rPr/>
        <w:t xml:space="preserve">GIS-rapportage: wekelijkse upload uiterlijk elke maandag 12:00 uur; dataset bevat locatie (RD), activiteit, hoeveelheid, foto’s (≥ 2 per locatie), status, datum/tijd, materieel-ID, brandstoftype.</w:t>
      </w:r>
    </w:p>
    <w:p>
      <w:pPr>
        <w:numPr>
          <w:ilvl w:val="0"/>
          <w:numId w:val="3"/>
        </w:numPr>
        <w:spacing w:lineRule="auto"/>
      </w:pPr>
      <w:r>
        <w:rPr/>
        <w:t xml:space="preserve">Telematica: 100% machine-uren en brandstofstromen worden digitaal vastgelegd en gedeeld per maand.</w:t>
      </w:r>
    </w:p>
    <w:p>
      <w:pPr>
        <w:numPr>
          <w:ilvl w:val="0"/>
          <w:numId w:val="3"/>
        </w:numPr>
        <w:spacing w:lineRule="auto"/>
      </w:pPr>
      <w:r>
        <w:rPr/>
        <w:t xml:space="preserve">Privacy: alleen noodzakelijke persoonsgegevens; verwerking conform AVG; bewaartermijn projectdata 7 jaar.</w:t>
      </w:r>
    </w:p>
    <w:p>
      <w:pPr>
        <w:spacing w:lineRule="auto"/>
      </w:pPr>
      <w:r>
        <w:rPr/>
        <w:t xml:space="preserve">Duurzaamheid en CO₂</w:t>
      </w:r>
    </w:p>
    <w:p>
      <w:pPr>
        <w:numPr>
          <w:ilvl w:val="0"/>
          <w:numId w:val="4"/>
        </w:numPr>
        <w:spacing w:lineRule="auto"/>
      </w:pPr>
      <w:r>
        <w:rPr/>
        <w:t xml:space="preserve">Emissiereductie: minimaal 35% CO₂-reductie t.o.v. 2019-referentie per productieve uur, aantoonbaar via CO₂-prestatieladder niveau 4-methodiek.</w:t>
      </w:r>
    </w:p>
    <w:p>
      <w:pPr>
        <w:numPr>
          <w:ilvl w:val="0"/>
          <w:numId w:val="4"/>
        </w:numPr>
        <w:spacing w:lineRule="auto"/>
      </w:pPr>
      <w:r>
        <w:rPr/>
        <w:t xml:space="preserve">Circulariteit: 100% vrijkomende asfaltfrezen hergebruikt in asfalt (≥ 60% in-lijn, rest gecertificeerd gedowncycled); klinkers min. 85% hergebruikt als A-kwaliteit.</w:t>
      </w:r>
    </w:p>
    <w:p>
      <w:pPr>
        <w:spacing w:lineRule="auto"/>
      </w:pPr>
      <w:r>
        <w:rPr/>
        <w:t xml:space="preserve">Meten, betaling en volumebeheersing</w:t>
      </w:r>
    </w:p>
    <w:p>
      <w:pPr>
        <w:numPr>
          <w:ilvl w:val="0"/>
          <w:numId w:val="5"/>
        </w:numPr>
        <w:spacing w:lineRule="auto"/>
      </w:pPr>
      <w:r>
        <w:rPr/>
        <w:t xml:space="preserve">Meting: hoeveelheden conform RAW-systematiek (m², m¹, ton), vastgesteld tijdens gezamenlijke opname met dagstaat en GIS-locatiefoto’s.</w:t>
      </w:r>
    </w:p>
    <w:p>
      <w:pPr>
        <w:numPr>
          <w:ilvl w:val="0"/>
          <w:numId w:val="5"/>
        </w:numPr>
        <w:spacing w:lineRule="auto"/>
      </w:pPr>
      <w:r>
        <w:rPr/>
        <w:t xml:space="preserve">Afwijkingsdrempel volume: bij cumulatieve afroep &gt; +20% of &lt; −20% t.o.v. jaarprognose volgt herijking uitvoeringsplanning; tarieven blijven ongewijzigd.</w:t>
      </w:r>
    </w:p>
    <w:p>
      <w:pPr>
        <w:numPr>
          <w:ilvl w:val="0"/>
          <w:numId w:val="5"/>
        </w:numPr>
        <w:spacing w:lineRule="auto"/>
      </w:pPr>
      <w:r>
        <w:rPr/>
        <w:t xml:space="preserve">Onvoorzien/calamiteiten: calamiteit met schadegebied &gt; 2.500 m² of &gt; 5 gelijktijdige storingslocaties valt onder calamiteitenprotocol met separate afroep en prioritering; tarieven blijven ongewijzigd, doorlooptijd kan afwijken.</w:t>
      </w:r>
    </w:p>
    <w:p>
      <w:pPr>
        <w:spacing w:lineRule="auto"/>
      </w:pPr>
      <w:r>
        <w:rPr/>
        <w:t xml:space="preserve">Juridische uitsluitingen en aansprakelijkheid</w:t>
      </w:r>
    </w:p>
    <w:p>
      <w:pPr>
        <w:numPr>
          <w:ilvl w:val="0"/>
          <w:numId w:val="6"/>
        </w:numPr>
        <w:spacing w:lineRule="auto"/>
      </w:pPr>
      <w:r>
        <w:rPr/>
        <w:t xml:space="preserve">Nutsvoorzieningen: opsporing, verlegging en schade aan onbekende of foutief ingemeten kabels/leidingen zijn uitgesloten; we werken KLIC-geïnformeerd en met proefsleuven op aanwijzing opdrachtgever.</w:t>
      </w:r>
    </w:p>
    <w:p>
      <w:pPr>
        <w:numPr>
          <w:ilvl w:val="0"/>
          <w:numId w:val="6"/>
        </w:numPr>
        <w:spacing w:lineRule="auto"/>
      </w:pPr>
      <w:r>
        <w:rPr/>
        <w:t xml:space="preserve">Bodem/omgeving: sanering van bodemverontreiniging, asbest, PFAS boven lokale normering en explosievenonderzoek zijn uitgesloten.</w:t>
      </w:r>
    </w:p>
    <w:p>
      <w:pPr>
        <w:numPr>
          <w:ilvl w:val="0"/>
          <w:numId w:val="6"/>
        </w:numPr>
        <w:spacing w:lineRule="auto"/>
      </w:pPr>
      <w:r>
        <w:rPr/>
        <w:t xml:space="preserve">Ontwerp- en beleidsverantwoordelijkheid: ontwerp en verkeersbesluiten liggen bij opdrachtgever; wij borgen uitvoeringskwaliteit conform bestek en normen.</w:t>
      </w:r>
    </w:p>
    <w:p>
      <w:pPr>
        <w:numPr>
          <w:ilvl w:val="0"/>
          <w:numId w:val="6"/>
        </w:numPr>
        <w:spacing w:lineRule="auto"/>
      </w:pPr>
      <w:r>
        <w:rPr/>
        <w:t xml:space="preserve">Indirecte schade: gevolgschade (bedrijfsschade, imagoschade) is uitgesloten; directe schade beperkt tot opdrachtwaarde per incident, tenzij sprake van opzet/grove schuld.</w:t>
      </w:r>
    </w:p>
    <w:p>
      <w:pPr>
        <w:numPr>
          <w:ilvl w:val="0"/>
          <w:numId w:val="6"/>
        </w:numPr>
        <w:spacing w:lineRule="auto"/>
      </w:pPr>
      <w:r>
        <w:rPr/>
        <w:t xml:space="preserve">Overmacht: extreme weersomstandigheden (code rood KNMI), stakingen buiten onze invloed en leveringsverboden gelden als overmacht; planning wordt PDCA-bijgestuurd.</w:t>
      </w:r>
    </w:p>
    <w:p>
      <w:pPr>
        <w:spacing w:lineRule="auto"/>
      </w:pPr>
      <w:r>
        <w:rPr/>
        <w:t xml:space="preserve">Financiële consequenties</w:t>
      </w:r>
    </w:p>
    <w:p>
      <w:pPr>
        <w:numPr>
          <w:ilvl w:val="0"/>
          <w:numId w:val="7"/>
        </w:numPr>
        <w:spacing w:lineRule="auto"/>
      </w:pPr>
      <w:r>
        <w:rPr/>
        <w:t xml:space="preserve">Tariefvastheid: alle aangeboden tarieven zijn vast gedurende 2025–2029; geen indexatie; aanpassing uitsluitend bij wettelijk verplichte heffingen/wijziging BTW.</w:t>
      </w:r>
    </w:p>
    <w:p>
      <w:pPr>
        <w:numPr>
          <w:ilvl w:val="0"/>
          <w:numId w:val="7"/>
        </w:numPr>
        <w:spacing w:lineRule="auto"/>
      </w:pPr>
      <w:r>
        <w:rPr/>
        <w:t xml:space="preserve">Nacht/weekend op aanvraag: niet-storingswerk buiten regulier venster op verzoek opdrachtgever wordt zonder opslag uitgevoerd; doorlooptijd afgestemd in PDCA; tarieven ongewijzigd.</w:t>
      </w:r>
    </w:p>
    <w:p>
      <w:pPr>
        <w:numPr>
          <w:ilvl w:val="0"/>
          <w:numId w:val="7"/>
        </w:numPr>
        <w:spacing w:lineRule="auto"/>
      </w:pPr>
      <w:r>
        <w:rPr/>
        <w:t xml:space="preserve">GIS-toegang: falen of niet-beschikbaarheid van gemeentelijk GIS-portaal &gt; 24 uur leidt tot tijdelijke alternatieve aanlevering (CSV/ZIP); geen meerkosten, maar oplevertermijn schuift gelijk aan verstoring.</w:t>
      </w:r>
    </w:p>
    <w:p>
      <w:pPr>
        <w:numPr>
          <w:ilvl w:val="0"/>
          <w:numId w:val="7"/>
        </w:numPr>
        <w:spacing w:lineRule="auto"/>
      </w:pPr>
      <w:r>
        <w:rPr/>
        <w:t xml:space="preserve">Extra eisen buiten bestek (nieuwe markeringstypes, extra milieu-eisen) worden vooraf PDCA-gepland; uitvoering na schriftelijke wijziging; tarieven ongewijzigd tenzij aantoonbaar meerwerk in materialen.</w:t>
      </w:r>
    </w:p>
    <w:p>
      <w:pPr>
        <w:spacing w:lineRule="auto"/>
      </w:pPr>
      <w:r>
        <w:rPr/>
        <w:t xml:space="preserve">KPI/PDCA-kruisverbanden (W-xx ↔ KPI ↔ Risico ↔ Bewijs)</w:t>
      </w:r>
    </w:p>
    <w:p>
      <w:pPr>
        <w:numPr>
          <w:ilvl w:val="0"/>
          <w:numId w:val="8"/>
        </w:numPr>
        <w:spacing w:lineRule="auto"/>
      </w:pPr>
      <w:r>
        <w:rPr/>
        <w:t xml:space="preserve">W-01 Storingsdienst 24/7</w:t>
      </w:r>
    </w:p>
    <w:p>
      <w:pPr>
        <w:numPr>
          <w:ilvl w:val="1"/>
          <w:numId w:val="9"/>
        </w:numPr>
        <w:spacing w:lineRule="auto"/>
      </w:pPr>
      <w:r>
        <w:rPr/>
        <w:t xml:space="preserve">KPI: Responstijd storingen ≤ 2 uur (SLA).</w:t>
      </w:r>
    </w:p>
    <w:p>
      <w:pPr>
        <w:numPr>
          <w:ilvl w:val="1"/>
          <w:numId w:val="9"/>
        </w:numPr>
        <w:spacing w:lineRule="auto"/>
      </w:pPr>
      <w:r>
        <w:rPr/>
        <w:t xml:space="preserve">Risico R-01: file/afsluiting vertraagt aanrijdtijd.</w:t>
      </w:r>
    </w:p>
    <w:p>
      <w:pPr>
        <w:numPr>
          <w:ilvl w:val="1"/>
          <w:numId w:val="9"/>
        </w:numPr>
        <w:spacing w:lineRule="auto"/>
      </w:pPr>
      <w:r>
        <w:rPr/>
        <w:t xml:space="preserve">Acties: dubbele dienstbezetting, strategische standplaatsen.</w:t>
      </w:r>
    </w:p>
    <w:p>
      <w:pPr>
        <w:numPr>
          <w:ilvl w:val="1"/>
          <w:numId w:val="9"/>
        </w:numPr>
        <w:spacing w:lineRule="auto"/>
      </w:pPr>
      <w:r>
        <w:rPr/>
        <w:t xml:space="preserve">Bewijs: meldkamerlog, GPS-arrivaltime, fotostart werk.</w:t>
      </w:r>
    </w:p>
    <w:p>
      <w:pPr>
        <w:numPr>
          <w:ilvl w:val="0"/>
          <w:numId w:val="8"/>
        </w:numPr>
        <w:spacing w:lineRule="auto"/>
      </w:pPr>
      <w:r>
        <w:rPr/>
        <w:t xml:space="preserve">W-02 GIS-weekrapportage</w:t>
      </w:r>
    </w:p>
    <w:p>
      <w:pPr>
        <w:numPr>
          <w:ilvl w:val="1"/>
          <w:numId w:val="10"/>
        </w:numPr>
        <w:spacing w:lineRule="auto"/>
      </w:pPr>
      <w:r>
        <w:rPr/>
        <w:t xml:space="preserve">KPI: Opleveringen binnen planning ≥ 95%; 100% dataset compleet.</w:t>
      </w:r>
    </w:p>
    <w:p>
      <w:pPr>
        <w:numPr>
          <w:ilvl w:val="1"/>
          <w:numId w:val="10"/>
        </w:numPr>
        <w:spacing w:lineRule="auto"/>
      </w:pPr>
      <w:r>
        <w:rPr/>
        <w:t xml:space="preserve">Risico R-02: GIS-API storing.</w:t>
      </w:r>
    </w:p>
    <w:p>
      <w:pPr>
        <w:numPr>
          <w:ilvl w:val="1"/>
          <w:numId w:val="10"/>
        </w:numPr>
        <w:spacing w:lineRule="auto"/>
      </w:pPr>
      <w:r>
        <w:rPr/>
        <w:t xml:space="preserve">Acties: fallback CSV, retry schema 24/48 uur.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GIS-export, checksum, audittrail.</w:t>
      </w:r>
    </w:p>
    <w:p>
      <w:pPr>
        <w:numPr>
          <w:ilvl w:val="0"/>
          <w:numId w:val="8"/>
        </w:numPr>
        <w:spacing w:lineRule="auto"/>
      </w:pPr>
      <w:r>
        <w:rPr/>
        <w:t xml:space="preserve">W-03 Emissiearm materieel</w:t>
      </w:r>
    </w:p>
    <w:p>
      <w:pPr>
        <w:numPr>
          <w:ilvl w:val="1"/>
          <w:numId w:val="11"/>
        </w:numPr>
        <w:spacing w:lineRule="auto"/>
      </w:pPr>
      <w:r>
        <w:rPr/>
        <w:t xml:space="preserve">KPI: ≥ 90% ZE/Stage V/HVO-uren; CO₂-reductie ≥ 35%.</w:t>
      </w:r>
    </w:p>
    <w:p>
      <w:pPr>
        <w:numPr>
          <w:ilvl w:val="1"/>
          <w:numId w:val="11"/>
        </w:numPr>
        <w:spacing w:lineRule="auto"/>
      </w:pPr>
      <w:r>
        <w:rPr/>
        <w:t xml:space="preserve">Risico R-03: HU/VO brandstofschaarste.</w:t>
      </w:r>
    </w:p>
    <w:p>
      <w:pPr>
        <w:numPr>
          <w:ilvl w:val="1"/>
          <w:numId w:val="11"/>
        </w:numPr>
        <w:spacing w:lineRule="auto"/>
      </w:pPr>
      <w:r>
        <w:rPr/>
        <w:t xml:space="preserve">Acties: dubbele HVO-leverancier, nachtelijk bijtanken.</w:t>
      </w:r>
    </w:p>
    <w:p>
      <w:pPr>
        <w:numPr>
          <w:ilvl w:val="1"/>
          <w:numId w:val="11"/>
        </w:numPr>
        <w:spacing w:lineRule="auto"/>
      </w:pPr>
      <w:r>
        <w:rPr/>
        <w:t xml:space="preserve">Bewijs: telematica-rapport, brandstofbonnen, PSL-4 audits.</w:t>
      </w:r>
    </w:p>
    <w:p>
      <w:pPr>
        <w:numPr>
          <w:ilvl w:val="0"/>
          <w:numId w:val="8"/>
        </w:numPr>
        <w:spacing w:lineRule="auto"/>
      </w:pPr>
      <w:r>
        <w:rPr/>
        <w:t xml:space="preserve">W-04 Kwaliteit verhardingsherstel</w:t>
      </w:r>
    </w:p>
    <w:p>
      <w:pPr>
        <w:numPr>
          <w:ilvl w:val="1"/>
          <w:numId w:val="12"/>
        </w:numPr>
        <w:spacing w:lineRule="auto"/>
      </w:pPr>
      <w:r>
        <w:rPr/>
        <w:t xml:space="preserve">KPI: &lt; 3% nazorg binnen 12 mnd; nul afkeur op keuringen.</w:t>
      </w:r>
    </w:p>
    <w:p>
      <w:pPr>
        <w:numPr>
          <w:ilvl w:val="1"/>
          <w:numId w:val="12"/>
        </w:numPr>
        <w:spacing w:lineRule="auto"/>
      </w:pPr>
      <w:r>
        <w:rPr/>
        <w:t xml:space="preserve">Risico R-04: vocht/temperatuur onder grenswaarden.</w:t>
      </w:r>
    </w:p>
    <w:p>
      <w:pPr>
        <w:numPr>
          <w:ilvl w:val="1"/>
          <w:numId w:val="12"/>
        </w:numPr>
        <w:spacing w:lineRule="auto"/>
      </w:pPr>
      <w:r>
        <w:rPr/>
        <w:t xml:space="preserve">Acties: weercriteria en stoplichtbesluit, tent/infraheaters.</w:t>
      </w:r>
    </w:p>
    <w:p>
      <w:pPr>
        <w:numPr>
          <w:ilvl w:val="1"/>
          <w:numId w:val="12"/>
        </w:numPr>
        <w:spacing w:lineRule="auto"/>
      </w:pPr>
      <w:r>
        <w:rPr/>
        <w:t xml:space="preserve">Bewijs: keuringen, boorkernrapport, fotolog.</w:t>
      </w:r>
    </w:p>
    <w:p>
      <w:pPr>
        <w:numPr>
          <w:ilvl w:val="0"/>
          <w:numId w:val="8"/>
        </w:numPr>
        <w:spacing w:lineRule="auto"/>
      </w:pPr>
      <w:r>
        <w:rPr/>
        <w:t xml:space="preserve">W-05 Winterdienst</w:t>
      </w:r>
    </w:p>
    <w:p>
      <w:pPr>
        <w:numPr>
          <w:ilvl w:val="1"/>
          <w:numId w:val="13"/>
        </w:numPr>
        <w:spacing w:lineRule="auto"/>
      </w:pPr>
      <w:r>
        <w:rPr/>
        <w:t xml:space="preserve">KPI: uitruk ≤ 30 min; route binnen 3 uur gereed.</w:t>
      </w:r>
    </w:p>
    <w:p>
      <w:pPr>
        <w:numPr>
          <w:ilvl w:val="1"/>
          <w:numId w:val="13"/>
        </w:numPr>
        <w:spacing w:lineRule="auto"/>
      </w:pPr>
      <w:r>
        <w:rPr/>
        <w:t xml:space="preserve">Risico R-05: gelijktijdige piek in meerdere wijken.</w:t>
      </w:r>
    </w:p>
    <w:p>
      <w:pPr>
        <w:numPr>
          <w:ilvl w:val="1"/>
          <w:numId w:val="13"/>
        </w:numPr>
        <w:spacing w:lineRule="auto"/>
      </w:pPr>
      <w:r>
        <w:rPr/>
        <w:t xml:space="preserve">Acties: schaduwroutes, extra strooivoertuig stand-by.</w:t>
      </w:r>
    </w:p>
    <w:p>
      <w:pPr>
        <w:numPr>
          <w:ilvl w:val="1"/>
          <w:numId w:val="13"/>
        </w:numPr>
        <w:spacing w:lineRule="auto"/>
      </w:pPr>
      <w:r>
        <w:rPr/>
        <w:t xml:space="preserve">Bewijs: route-GPS, zoutverbruiklog, meldingen.</w:t>
      </w:r>
    </w:p>
    <w:p>
      <w:pPr>
        <w:numPr>
          <w:ilvl w:val="0"/>
          <w:numId w:val="8"/>
        </w:numPr>
        <w:spacing w:lineRule="auto"/>
      </w:pPr>
      <w:r>
        <w:rPr/>
        <w:t xml:space="preserve">W-06 Verkeersveiligheid</w:t>
      </w:r>
    </w:p>
    <w:p>
      <w:pPr>
        <w:numPr>
          <w:ilvl w:val="1"/>
          <w:numId w:val="14"/>
        </w:numPr>
        <w:spacing w:lineRule="auto"/>
      </w:pPr>
      <w:r>
        <w:rPr/>
        <w:t xml:space="preserve">KPI: 0 LTI; ≥ 1 VGM-inspectie/week; 100% LMRA.</w:t>
      </w:r>
    </w:p>
    <w:p>
      <w:pPr>
        <w:numPr>
          <w:ilvl w:val="1"/>
          <w:numId w:val="14"/>
        </w:numPr>
        <w:spacing w:lineRule="auto"/>
      </w:pPr>
      <w:r>
        <w:rPr/>
        <w:t xml:space="preserve">Risico R-06: dynamiek drukke kruispunten.</w:t>
      </w:r>
    </w:p>
    <w:p>
      <w:pPr>
        <w:numPr>
          <w:ilvl w:val="1"/>
          <w:numId w:val="14"/>
        </w:numPr>
        <w:spacing w:lineRule="auto"/>
      </w:pPr>
      <w:r>
        <w:rPr/>
        <w:t xml:space="preserve">Acties: verkeersregelaars, fasering buiten spits.</w:t>
      </w:r>
    </w:p>
    <w:p>
      <w:pPr>
        <w:numPr>
          <w:ilvl w:val="1"/>
          <w:numId w:val="14"/>
        </w:numPr>
        <w:spacing w:lineRule="auto"/>
      </w:pPr>
      <w:r>
        <w:rPr/>
        <w:t xml:space="preserve">Bewijs: VGM-verslagen, LMRA-forms, incidentlog.</w:t>
      </w:r>
    </w:p>
    <w:p>
      <w:pPr>
        <w:numPr>
          <w:ilvl w:val="0"/>
          <w:numId w:val="8"/>
        </w:numPr>
        <w:spacing w:lineRule="auto"/>
      </w:pPr>
      <w:r>
        <w:rPr/>
        <w:t xml:space="preserve">W-07 Klant &amp; omgeving</w:t>
      </w:r>
    </w:p>
    <w:p>
      <w:pPr>
        <w:numPr>
          <w:ilvl w:val="1"/>
          <w:numId w:val="15"/>
        </w:numPr>
        <w:spacing w:lineRule="auto"/>
      </w:pPr>
      <w:r>
        <w:rPr/>
        <w:t xml:space="preserve">KPI: Klanttevredenheid ≥ 8,0; klachtenafhandeling ≤ 5 werkdagen.</w:t>
      </w:r>
    </w:p>
    <w:p>
      <w:pPr>
        <w:numPr>
          <w:ilvl w:val="1"/>
          <w:numId w:val="15"/>
        </w:numPr>
        <w:spacing w:lineRule="auto"/>
      </w:pPr>
      <w:r>
        <w:rPr/>
        <w:t xml:space="preserve">Risico R-07: onverwachte hinder/geluid.</w:t>
      </w:r>
    </w:p>
    <w:p>
      <w:pPr>
        <w:numPr>
          <w:ilvl w:val="1"/>
          <w:numId w:val="15"/>
        </w:numPr>
        <w:spacing w:lineRule="auto"/>
      </w:pPr>
      <w:r>
        <w:rPr/>
        <w:t xml:space="preserve">Acties: bewonersbrieven 48 uur vooraf, omleidingsborden.</w:t>
      </w:r>
    </w:p>
    <w:p>
      <w:pPr>
        <w:numPr>
          <w:ilvl w:val="1"/>
          <w:numId w:val="15"/>
        </w:numPr>
        <w:spacing w:lineRule="auto"/>
      </w:pPr>
      <w:r>
        <w:rPr/>
        <w:t xml:space="preserve">Bewijs: verzendbewijzen, enquête-uitslagen, klachtendossier.</w:t>
      </w:r>
    </w:p>
    <w:p>
      <w:pPr>
        <w:spacing w:lineRule="auto"/>
      </w:pPr>
      <w:r>
        <w:rPr/>
        <w:t xml:space="preserve">Uitsluitingen technisch/operationeel</w:t>
      </w:r>
    </w:p>
    <w:p>
      <w:pPr>
        <w:numPr>
          <w:ilvl w:val="0"/>
          <w:numId w:val="16"/>
        </w:numPr>
        <w:spacing w:lineRule="auto"/>
      </w:pPr>
      <w:r>
        <w:rPr/>
        <w:t xml:space="preserve">Complexe verkeersmanagementsystemen (ITS, matrixborden) zijn uitgesloten; tijdelijke bebording en afzetting conform CROW 96b is inbegrepen.</w:t>
      </w:r>
    </w:p>
    <w:p>
      <w:pPr>
        <w:numPr>
          <w:ilvl w:val="0"/>
          <w:numId w:val="16"/>
        </w:numPr>
        <w:spacing w:lineRule="auto"/>
      </w:pPr>
      <w:r>
        <w:rPr/>
        <w:t xml:space="preserve">Kunstwerken (bruggen/tunnels) groot onderhoud en dilatatievervanging zijn uitgesloten; voegvulling op wegdekken is inbegrepen.</w:t>
      </w:r>
    </w:p>
    <w:p>
      <w:pPr>
        <w:numPr>
          <w:ilvl w:val="0"/>
          <w:numId w:val="16"/>
        </w:numPr>
        <w:spacing w:lineRule="auto"/>
      </w:pPr>
      <w:r>
        <w:rPr/>
        <w:t xml:space="preserve">Groenonderhoud buiten directe werkvakken is uitgesloten.</w:t>
      </w:r>
    </w:p>
    <w:p>
      <w:pPr>
        <w:numPr>
          <w:ilvl w:val="0"/>
          <w:numId w:val="16"/>
        </w:numPr>
        <w:spacing w:lineRule="auto"/>
      </w:pPr>
      <w:r>
        <w:rPr/>
        <w:t xml:space="preserve">Sloop/nieuwbouw van riolering is uitgesloten; incidentele kolkvervanging binnen werkvak is inbegrepen.</w:t>
      </w:r>
    </w:p>
    <w:p>
      <w:pPr>
        <w:spacing w:lineRule="auto"/>
      </w:pPr>
      <w:r>
        <w:rPr/>
        <w:t xml:space="preserve">Keten- en compliance-aannames</w:t>
      </w:r>
    </w:p>
    <w:p>
      <w:pPr>
        <w:numPr>
          <w:ilvl w:val="0"/>
          <w:numId w:val="17"/>
        </w:numPr>
        <w:spacing w:lineRule="auto"/>
      </w:pPr>
      <w:r>
        <w:rPr/>
        <w:t xml:space="preserve">KLIC-melding minimaal 3 werkdagen voor graafwerk; opdrachtgever faciliteert tijdige tracétoegang.</w:t>
      </w:r>
    </w:p>
    <w:p>
      <w:pPr>
        <w:numPr>
          <w:ilvl w:val="0"/>
          <w:numId w:val="17"/>
        </w:numPr>
        <w:spacing w:lineRule="auto"/>
      </w:pPr>
      <w:r>
        <w:rPr/>
        <w:t xml:space="preserve">Vergunningen en verkeersbesluiten worden door opdrachtgever aangevraagd; wij leveren werkplannen en faseringstekeningen binnen 5 werkdagen na afroep.</w:t>
      </w:r>
    </w:p>
    <w:p>
      <w:pPr>
        <w:numPr>
          <w:ilvl w:val="0"/>
          <w:numId w:val="17"/>
        </w:numPr>
        <w:spacing w:lineRule="auto"/>
      </w:pPr>
      <w:r>
        <w:rPr/>
        <w:t xml:space="preserve">Toegangslocaties voor zoutopslag, depot en laadpunten worden door opdrachtgever beschikbaar gesteld binnen 10 km van werkgebied.</w:t>
      </w:r>
    </w:p>
    <w:p>
      <w:pPr>
        <w:spacing w:lineRule="auto"/>
      </w:pPr>
      <w:r>
        <w:rPr/>
        <w:t xml:space="preserve">Waarborgen en garantie</w:t>
      </w:r>
    </w:p>
    <w:p>
      <w:pPr>
        <w:numPr>
          <w:ilvl w:val="0"/>
          <w:numId w:val="18"/>
        </w:numPr>
        <w:spacing w:lineRule="auto"/>
      </w:pPr>
      <w:r>
        <w:rPr/>
        <w:t xml:space="preserve">Garantie: 12 maanden op uitgevoerde werkzaamheden en materialen, startend op datum deeloplevering; niet van toepassing bij overbelasting door derden, nutsbreuk, of vorstschade buiten ontwerpcriteria.</w:t>
      </w:r>
    </w:p>
    <w:p>
      <w:pPr>
        <w:numPr>
          <w:ilvl w:val="0"/>
          <w:numId w:val="18"/>
        </w:numPr>
        <w:spacing w:lineRule="auto"/>
      </w:pPr>
      <w:r>
        <w:rPr/>
        <w:t xml:space="preserve">Traceerbaarheid: materialen traceerbaar via batchnummers en leverbonnen.</w:t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19"/>
        </w:numPr>
        <w:spacing w:lineRule="auto"/>
      </w:pPr>
      <w:r>
        <w:rPr/>
        <w:t xml:space="preserve">Plan: kwartaalkwaliteitsplan per wijk met volumes, middelen, CO₂-doelen.</w:t>
      </w:r>
    </w:p>
    <w:p>
      <w:pPr>
        <w:numPr>
          <w:ilvl w:val="0"/>
          <w:numId w:val="19"/>
        </w:numPr>
        <w:spacing w:lineRule="auto"/>
      </w:pPr>
      <w:r>
        <w:rPr/>
        <w:t xml:space="preserve">Do: uitvoering conform W-01 t/m W-07 met dagstart en LMRA.</w:t>
      </w:r>
    </w:p>
    <w:p>
      <w:pPr>
        <w:numPr>
          <w:ilvl w:val="0"/>
          <w:numId w:val="19"/>
        </w:numPr>
        <w:spacing w:lineRule="auto"/>
      </w:pPr>
      <w:r>
        <w:rPr/>
        <w:t xml:space="preserve">Check: maandelijkse KPI-review met opdrachtgever; afwijkingen en root cause analysis binnen 5 werkdagen.</w:t>
      </w:r>
    </w:p>
    <w:p>
      <w:pPr>
        <w:numPr>
          <w:ilvl w:val="0"/>
          <w:numId w:val="19"/>
        </w:numPr>
        <w:spacing w:lineRule="auto"/>
      </w:pPr>
      <w:r>
        <w:rPr/>
        <w:t xml:space="preserve">Act: corrigerende/voorkomende maatregelen binnen 10 werkdagen geïmplementeerd; lessons learned geborgd in volgende wijkplanning.</w:t>
      </w:r>
    </w:p>
    <w:p>
      <w:pPr>
        <w:spacing w:lineRule="auto"/>
      </w:pPr>
      <w:r>
        <w:rPr/>
        <w:t xml:space="preserve">Bewijsvoering en auditrechten</w:t>
      </w:r>
    </w:p>
    <w:p>
      <w:pPr>
        <w:numPr>
          <w:ilvl w:val="0"/>
          <w:numId w:val="20"/>
        </w:numPr>
        <w:spacing w:lineRule="auto"/>
      </w:pPr>
      <w:r>
        <w:rPr/>
        <w:t xml:space="preserve">Opdrachtgever heeft auditrecht op ISO 9001/14001, VCA** en CO₂-prestatieladder niveau 4; alle relevante logs, telematica en GIS-data worden op verzoek binnen 5 werkdagen beschikbaar gesteld.</w:t>
      </w:r>
    </w:p>
    <w:p>
      <w:pPr>
        <w:spacing w:lineRule="auto"/>
      </w:pPr>
      <w:r>
        <w:rPr/>
        <w:t xml:space="preserve">Heldere consequenties bij aannamesafwijking</w:t>
      </w:r>
    </w:p>
    <w:p>
      <w:pPr>
        <w:numPr>
          <w:ilvl w:val="0"/>
          <w:numId w:val="21"/>
        </w:numPr>
        <w:spacing w:lineRule="auto"/>
      </w:pPr>
      <w:r>
        <w:rPr/>
        <w:t xml:space="preserve">Indien werkvensters door beleidswijziging permanent worden beperkt (bijv. nachtarbeid verplicht), kan planning verschuiven; KPI “Opleveringen binnen planning” wordt tijdelijk vrijgesteld voor de betreffende deelopdrachten; tarieven blijven ongewijzigd.</w:t>
      </w:r>
    </w:p>
    <w:p>
      <w:pPr>
        <w:numPr>
          <w:ilvl w:val="0"/>
          <w:numId w:val="21"/>
        </w:numPr>
        <w:spacing w:lineRule="auto"/>
      </w:pPr>
      <w:r>
        <w:rPr/>
        <w:t xml:space="preserve">Bij structurele GIS-onbeschikbaarheid (&gt; 10 werkdagen/kwartaal) geldt dat de KPI-datasetcompleetheid wordt beoordeeld op onze fallback-leveringen.</w:t>
      </w:r>
    </w:p>
    <w:p>
      <w:pPr>
        <w:spacing w:lineRule="auto"/>
      </w:pPr>
      <w:r>
        <w:rPr/>
        <w:t xml:space="preserve">Juridische slotbepalingen</w:t>
      </w:r>
    </w:p>
    <w:p>
      <w:pPr>
        <w:numPr>
          <w:ilvl w:val="0"/>
          <w:numId w:val="22"/>
        </w:numPr>
        <w:spacing w:lineRule="auto"/>
      </w:pPr>
      <w:r>
        <w:rPr/>
        <w:t xml:space="preserve">Deze aannames en uitsluitingen maken integraal onderdeel uit van ons aanbod. In geval van tegenstrijdigheid met het definitieve contract prevaleert het contract; afwijkingen worden vooraf schriftelijk bevestigd.</w:t>
      </w:r>
    </w:p>
    <w:p>
      <w:pPr>
        <w:numPr>
          <w:ilvl w:val="0"/>
          <w:numId w:val="22"/>
        </w:numPr>
        <w:spacing w:lineRule="auto"/>
      </w:pPr>
      <w:r>
        <w:rPr/>
        <w:t xml:space="preserve">Geen afstand van rechten bij stilzwijgen; deelongeldigheid tast overige bepalingen niet aan.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3"/>
        </w:numPr>
        <w:spacing w:lineRule="auto"/>
      </w:pPr>
      <w:r>
        <w:rPr/>
        <w:t xml:space="preserve">Toegang tot gemeentelijk GIS-portaal (accounts, API-sleutels, datamodel).</w:t>
      </w:r>
    </w:p>
    <w:p>
      <w:pPr>
        <w:numPr>
          <w:ilvl w:val="0"/>
          <w:numId w:val="23"/>
        </w:numPr>
        <w:spacing w:lineRule="auto"/>
      </w:pPr>
      <w:r>
        <w:rPr/>
        <w:t xml:space="preserve">Jaarprognose per wijk (m²/m¹/ton) en calamiteitenprotocol (definitie/opschaling).</w:t>
      </w:r>
    </w:p>
    <w:p>
      <w:pPr>
        <w:numPr>
          <w:ilvl w:val="0"/>
          <w:numId w:val="23"/>
        </w:numPr>
        <w:spacing w:lineRule="auto"/>
      </w:pPr>
      <w:r>
        <w:rPr/>
        <w:t xml:space="preserve">Winterdienstplan: triggercriteria, routes, zoutdepots en sleutellocaties.</w:t>
      </w:r>
    </w:p>
    <w:p>
      <w:pPr>
        <w:numPr>
          <w:ilvl w:val="0"/>
          <w:numId w:val="23"/>
        </w:numPr>
        <w:spacing w:lineRule="auto"/>
      </w:pPr>
      <w:r>
        <w:rPr/>
        <w:t xml:space="preserve">Voorkeurslijsten materialen (asfaltmengsels, voegmiddelen, markeringstypes).</w:t>
      </w:r>
    </w:p>
    <w:p>
      <w:pPr>
        <w:numPr>
          <w:ilvl w:val="0"/>
          <w:numId w:val="23"/>
        </w:numPr>
        <w:spacing w:lineRule="auto"/>
      </w:pPr>
      <w:r>
        <w:rPr/>
        <w:t xml:space="preserve">Verkeersmaatregelenkader (CROW 96b-varianten, eisen verkeersregelaars).</w:t>
      </w:r>
    </w:p>
    <w:p>
      <w:pPr>
        <w:numPr>
          <w:ilvl w:val="0"/>
          <w:numId w:val="23"/>
        </w:numPr>
        <w:spacing w:lineRule="auto"/>
      </w:pPr>
      <w:r>
        <w:rPr/>
        <w:t xml:space="preserve">Communicatiekaders naar bewoners/ondernemers (templates, talen, termijnen).</w:t>
      </w:r>
    </w:p>
    <w:p>
      <w:pPr>
        <w:numPr>
          <w:ilvl w:val="0"/>
          <w:numId w:val="23"/>
        </w:numPr>
        <w:spacing w:lineRule="auto"/>
      </w:pPr>
      <w:r>
        <w:rPr/>
        <w:t xml:space="preserve">Toegang en openingstijden gemeentelijke locaties (opslag, laadpunten).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