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Titel: NvI – Clarificatievragen InfraTech Solutions B.V. m.b.t. “Onderhoud en verduurzaming gemeentelijke wegen 2025–2029” (Ref. UTR-MAINT-2025-041)</w:t>
      </w:r>
    </w:p>
    <w:p>
      <w:pPr>
        <w:spacing w:lineRule="auto"/>
      </w:pPr>
      <w:r>
        <w:rPr/>
        <w:t xml:space="preserve">Vraag 1 – Definitie en meting responstijd storingsdienst (≤ 2 uur)</w:t>
      </w:r>
    </w:p>
    <w:p>
      <w:pPr>
        <w:numPr>
          <w:ilvl w:val="0"/>
          <w:numId w:val="1"/>
        </w:numPr>
        <w:spacing w:lineRule="auto"/>
      </w:pPr>
      <w:r>
        <w:rPr/>
        <w:t xml:space="preserve">Vraag: Wat is de starttrigger voor de responstijd (t=0: moment melding bij meldkamer gemeente, moment automatische ticketregistratie of moment telefonische escalatie)? Gaat het KPI “Responstijd ≤ 2 uur” over aankomst op locatie of start van remote triage/afzetting? Graag ook storingscategorieën (A: acuut gevaar, B: hinder, C: cosmetisch) met bijbehorende responstijd- en hersteltijd-eisen per categorie.</w:t>
      </w:r>
    </w:p>
    <w:p>
      <w:pPr>
        <w:numPr>
          <w:ilvl w:val="0"/>
          <w:numId w:val="1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"/>
        </w:numPr>
        <w:spacing w:lineRule="auto"/>
      </w:pPr>
      <w:r>
        <w:rPr/>
        <w:t xml:space="preserve">Impact: Direct op SLA-sturing, inzet 24/7-piket, en boeterisico’s.</w:t>
      </w:r>
    </w:p>
    <w:p>
      <w:pPr>
        <w:numPr>
          <w:ilvl w:val="0"/>
          <w:numId w:val="1"/>
        </w:numPr>
        <w:spacing w:lineRule="auto"/>
      </w:pPr>
      <w:r>
        <w:rPr/>
        <w:t xml:space="preserve">Afhankelijkheden: Meldproces/kanalen (GIS-portaal, telefoon, e-mail), escalatieroutes, meetprotocol KPI’s.</w:t>
      </w:r>
    </w:p>
    <w:p>
      <w:pPr>
        <w:numPr>
          <w:ilvl w:val="0"/>
          <w:numId w:val="1"/>
        </w:numPr>
        <w:spacing w:lineRule="auto"/>
      </w:pPr>
      <w:r>
        <w:rPr/>
        <w:t xml:space="preserve">PDCA-focus: P=procesdefinitie; C=meetpunten en logging; A=escalatie bij overschrijding.</w:t>
      </w:r>
    </w:p>
    <w:p>
      <w:pPr>
        <w:numPr>
          <w:ilvl w:val="0"/>
          <w:numId w:val="1"/>
        </w:numPr>
        <w:spacing w:lineRule="auto"/>
      </w:pPr>
      <w:r>
        <w:rPr/>
        <w:t xml:space="preserve">W-02 Storingsdienst ↔ KPI: Responstijd ≤ 2 uur ↔ Risico R-01: Onduidelijke t=0 leidt tot schijnbare KPI-overschrijding ↔ Bewijs: Meldprotocol + meetprotocol + voorbeeld logbestanden.</w:t>
      </w:r>
    </w:p>
    <w:p>
      <w:pPr>
        <w:spacing w:lineRule="auto"/>
      </w:pPr>
      <w:r>
        <w:rPr/>
        <w:t xml:space="preserve">Vraag 2 – Contractvorm, volume en indexering (raamovereenkomst)</w:t>
      </w:r>
    </w:p>
    <w:p>
      <w:pPr>
        <w:numPr>
          <w:ilvl w:val="0"/>
          <w:numId w:val="2"/>
        </w:numPr>
        <w:spacing w:lineRule="auto"/>
      </w:pPr>
      <w:r>
        <w:rPr/>
        <w:t xml:space="preserve">Vraag: Bevestig contractvorm (raamovereenkomst met nadere opdrachten) en looptijd 2025–2029. Graag maximum waarde/volume (bijv. €-plafond of km2/tonnage), call-off-proces, prijsvorming (eenheidsprijzen), indexeringsmethodiek (bijv. CROW/GWW-index per kwartaal) en minimaal afnamevolume (indien van toepassing).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Kostprijsbepaling, capaciteit en leveringszekerheid.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EMVI-prijsblad, RAW/Besteksystematiek, betalingsschema.</w:t>
      </w:r>
    </w:p>
    <w:p>
      <w:pPr>
        <w:numPr>
          <w:ilvl w:val="0"/>
          <w:numId w:val="2"/>
        </w:numPr>
        <w:spacing w:lineRule="auto"/>
      </w:pPr>
      <w:r>
        <w:rPr/>
        <w:t xml:space="preserve">PDCA-focus: P=contractparameters; D=afroep; C=volume- en budgetbewaking; A=herijking index.</w:t>
      </w:r>
    </w:p>
    <w:p>
      <w:pPr>
        <w:numPr>
          <w:ilvl w:val="0"/>
          <w:numId w:val="2"/>
        </w:numPr>
        <w:spacing w:lineRule="auto"/>
      </w:pPr>
      <w:r>
        <w:rPr/>
        <w:t xml:space="preserve">W-09 Contractbeheer ↔ KPI: Opleveringen binnen planning ≥ 95% ↔ Risico R-02: Over/onderbenutting volume verstoort planning ↔ Bewijs: Concept-raamovereenkomst + prijs-/indexatiebijlage.</w:t>
      </w:r>
    </w:p>
    <w:p>
      <w:pPr>
        <w:spacing w:lineRule="auto"/>
      </w:pPr>
      <w:r>
        <w:rPr/>
        <w:t xml:space="preserve">Vraag 3 – Digitale weekrapportages en GIS-integratie</w:t>
      </w:r>
    </w:p>
    <w:p>
      <w:pPr>
        <w:numPr>
          <w:ilvl w:val="0"/>
          <w:numId w:val="3"/>
        </w:numPr>
        <w:spacing w:lineRule="auto"/>
      </w:pPr>
      <w:r>
        <w:rPr/>
        <w:t xml:space="preserve">Vraag: Specificaties GIS-portaal: dataformaten (GeoJSON/WFS/GML), coördinatenstelsel (bevestig EPSG:28992), verplichte velden (asset-ID, locatie, datum/tijd, uitgevoerde maatregel, hoeveelheden, foto’s), API-toegang (OAuth2/SSO), maximale fotogrootte/resolutie, validatieregels en acceptatiecriteria. Is push via API of upload via web verplicht? Template voor weekrapport en naming-conventies graag aanleveren.</w:t>
      </w:r>
    </w:p>
    <w:p>
      <w:pPr>
        <w:numPr>
          <w:ilvl w:val="0"/>
          <w:numId w:val="3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3"/>
        </w:numPr>
        <w:spacing w:lineRule="auto"/>
      </w:pPr>
      <w:r>
        <w:rPr/>
        <w:t xml:space="preserve">Impact: Automatisering rapportage, datakwaliteit, acceptatie.</w:t>
      </w:r>
    </w:p>
    <w:p>
      <w:pPr>
        <w:numPr>
          <w:ilvl w:val="0"/>
          <w:numId w:val="3"/>
        </w:numPr>
        <w:spacing w:lineRule="auto"/>
      </w:pPr>
      <w:r>
        <w:rPr/>
        <w:t xml:space="preserve">Afhankelijkheden: ICT-beveiliging, AVG, datamigratie nulmeting.</w:t>
      </w:r>
    </w:p>
    <w:p>
      <w:pPr>
        <w:numPr>
          <w:ilvl w:val="0"/>
          <w:numId w:val="3"/>
        </w:numPr>
        <w:spacing w:lineRule="auto"/>
      </w:pPr>
      <w:r>
        <w:rPr/>
        <w:t xml:space="preserve">PDCA-focus: P=datamodel; C=datavalidatie; A=correctierondes bij afkeur.</w:t>
      </w:r>
    </w:p>
    <w:p>
      <w:pPr>
        <w:numPr>
          <w:ilvl w:val="0"/>
          <w:numId w:val="3"/>
        </w:numPr>
        <w:spacing w:lineRule="auto"/>
      </w:pPr>
      <w:r>
        <w:rPr/>
        <w:t xml:space="preserve">W-05 Data &amp; GIS ↔ KPI: Opleveringen binnen planning ≥ 95% ↔ Risico R-03: Datamismatch leidt tot afkeur en vertraging ↔ Bewijs: API/handboek GIS-portaal + rapportagetemplate + velddefinities.</w:t>
      </w:r>
    </w:p>
    <w:p>
      <w:pPr>
        <w:spacing w:lineRule="auto"/>
      </w:pPr>
      <w:r>
        <w:rPr/>
        <w:t xml:space="preserve">Vraag 4 – Verkeersmaatregelen en veiligheid (CROW 96a/96b)</w:t>
      </w:r>
    </w:p>
    <w:p>
      <w:pPr>
        <w:numPr>
          <w:ilvl w:val="0"/>
          <w:numId w:val="4"/>
        </w:numPr>
        <w:spacing w:lineRule="auto"/>
      </w:pPr>
      <w:r>
        <w:rPr/>
        <w:t xml:space="preserve">Vraag: Bevestig toe te passen normkaders voor tijdelijke verkeersmaatregelen (CROW 96a/96b of gemeentelijke nadere eisen). Zijn nachtafzettingen verplicht bij hoofdwegen? Minimumeisen voor verkeersregelaars, omleidingsroutes, werkvensters en geluidsrestricties. Vereist u V&amp;G-plan UAV-GC of RAW-veiligheidsplan per locatie? Incidentmeldingsprotocol gewenst.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4"/>
        </w:numPr>
        <w:spacing w:lineRule="auto"/>
      </w:pPr>
      <w:r>
        <w:rPr/>
        <w:t xml:space="preserve">Impact: Vergunningen, uitvoeringsplanning en omgevingshinder.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Vergunningen/APV, evenementenkalender, schooltijden.</w:t>
      </w:r>
    </w:p>
    <w:p>
      <w:pPr>
        <w:numPr>
          <w:ilvl w:val="0"/>
          <w:numId w:val="4"/>
        </w:numPr>
        <w:spacing w:lineRule="auto"/>
      </w:pPr>
      <w:r>
        <w:rPr/>
        <w:t xml:space="preserve">PDCA-focus: P=TMP-ontwerp; D=uitrol; C=audits; A=verbetermaatregelen na incident.</w:t>
      </w:r>
    </w:p>
    <w:p>
      <w:pPr>
        <w:numPr>
          <w:ilvl w:val="0"/>
          <w:numId w:val="4"/>
        </w:numPr>
        <w:spacing w:lineRule="auto"/>
      </w:pPr>
      <w:r>
        <w:rPr/>
        <w:t xml:space="preserve">W-04 Verkeersveiligheid ↔ KPI: Klanttevredenheid ≥ 8,0 ↔ Risico R-04: Onveilige situaties/klachten ↔ Bewijs: Richtlijnendocument + voorbeeld TMP-format + incidentprotocol.</w:t>
      </w:r>
    </w:p>
    <w:p>
      <w:pPr>
        <w:spacing w:lineRule="auto"/>
      </w:pPr>
      <w:r>
        <w:rPr/>
        <w:t xml:space="preserve">Vraag 5 – Duurzaamheidskaders: emissiearm materieel en circulariteit</w:t>
      </w:r>
    </w:p>
    <w:p>
      <w:pPr>
        <w:numPr>
          <w:ilvl w:val="0"/>
          <w:numId w:val="5"/>
        </w:numPr>
        <w:spacing w:lineRule="auto"/>
      </w:pPr>
      <w:r>
        <w:rPr/>
        <w:t xml:space="preserve">Vraag: Definieer “emissiearm materieel” (minimaal NRMM Stage V? Zero-emissie voorkeursregeling? HVO100 toegestaan/vereist?). CO₂-reductieplan: gewenste indicator (kg CO₂/ton AC, kg CO₂/uur machine, of tCO₂/jaar) en referentie-baseline. Circulariteit: toegestane RAP-percentages (binder/deklaag), toepassing warm-mix asfalt (&lt; 120 °C) en eisen aan MKI-rapportage.</w:t>
      </w:r>
    </w:p>
    <w:p>
      <w:pPr>
        <w:numPr>
          <w:ilvl w:val="0"/>
          <w:numId w:val="5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5"/>
        </w:numPr>
        <w:spacing w:lineRule="auto"/>
      </w:pPr>
      <w:r>
        <w:rPr/>
        <w:t xml:space="preserve">Impact: Materieelkeuze, asfaltrecepten, MKI/CO₂-score (EMVI).</w:t>
      </w:r>
    </w:p>
    <w:p>
      <w:pPr>
        <w:numPr>
          <w:ilvl w:val="0"/>
          <w:numId w:val="5"/>
        </w:numPr>
        <w:spacing w:lineRule="auto"/>
      </w:pPr>
      <w:r>
        <w:rPr/>
        <w:t xml:space="preserve">Afhankelijkheden: Gemeentelijk duurzaamheidsbeleid, PSL-waardering, milieukaders RWS/CROW.</w:t>
      </w:r>
    </w:p>
    <w:p>
      <w:pPr>
        <w:numPr>
          <w:ilvl w:val="0"/>
          <w:numId w:val="5"/>
        </w:numPr>
        <w:spacing w:lineRule="auto"/>
      </w:pPr>
      <w:r>
        <w:rPr/>
        <w:t xml:space="preserve">PDCA-focus: P=CO₂-doelen en MKI; C=monitoring per opdracht; A=bijsturing recept/materieel.</w:t>
      </w:r>
    </w:p>
    <w:p>
      <w:pPr>
        <w:numPr>
          <w:ilvl w:val="0"/>
          <w:numId w:val="5"/>
        </w:numPr>
        <w:spacing w:lineRule="auto"/>
      </w:pPr>
      <w:r>
        <w:rPr/>
        <w:t xml:space="preserve">W-06 Duurzaamheid ↔ KPI: Klanttevredenheid ≥ 8,0 (duurzaam imago) ↔ Risico R-05: Afkeur materieel/mix ↔ Bewijs: Definitie-eis emissiearm + CO₂-meetprotocol + circulariteitskaders.</w:t>
      </w:r>
    </w:p>
    <w:p>
      <w:pPr>
        <w:spacing w:lineRule="auto"/>
      </w:pPr>
      <w:r>
        <w:rPr/>
        <w:t xml:space="preserve">Vraag 6 – Winterdienst: scope, routes en servicelevels</w:t>
      </w:r>
    </w:p>
    <w:p>
      <w:pPr>
        <w:numPr>
          <w:ilvl w:val="0"/>
          <w:numId w:val="6"/>
        </w:numPr>
        <w:spacing w:lineRule="auto"/>
      </w:pPr>
      <w:r>
        <w:rPr/>
        <w:t xml:space="preserve">Vraag: Scope winterdienst: wegen, fietspaden, trottoirs, OV-banen, bruggen? Graag aanleveren routekaarten (prioriteit 1/2/3), starthandelingen (bijv. op basis van RWIS/Weeronline), streeftijden (bijv. P1 binnen 2 uur na start strooiactie vrij), inzet brijn/zout, en locatie(s) zoutopslag/ladingspunten. Acceptatiecriteria en KPI’s per routeklasse.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Materieelconfiguratie, piketplanning, voorraadbeheer.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RWIS-toegang, calamiteitenplan, milieu-eisen uitstrooiing.</w:t>
      </w:r>
    </w:p>
    <w:p>
      <w:pPr>
        <w:numPr>
          <w:ilvl w:val="0"/>
          <w:numId w:val="6"/>
        </w:numPr>
        <w:spacing w:lineRule="auto"/>
      </w:pPr>
      <w:r>
        <w:rPr/>
        <w:t xml:space="preserve">PDCA-focus: P=routedesign; D=uitvoering; C=pre/post-actie evaluatie; A=route-optimalisatie.</w:t>
      </w:r>
    </w:p>
    <w:p>
      <w:pPr>
        <w:numPr>
          <w:ilvl w:val="0"/>
          <w:numId w:val="6"/>
        </w:numPr>
        <w:spacing w:lineRule="auto"/>
      </w:pPr>
      <w:r>
        <w:rPr/>
        <w:t xml:space="preserve">W-07 Winterdienst ↔ KPI: Opleveringen binnen planning ≥ 95% ↔ Risico R-06: Onvoldoende paraatheid bij sneeuw/ijzel ↔ Bewijs: Routebestanden (GIS), servicelevel-document, RWIS-koppeling.</w:t>
      </w:r>
    </w:p>
    <w:p>
      <w:pPr>
        <w:spacing w:lineRule="auto"/>
      </w:pPr>
      <w:r>
        <w:rPr/>
        <w:t xml:space="preserve">Vraag 7 – Kwaliteit en acceptatie-eisen per maatregel</w:t>
      </w:r>
    </w:p>
    <w:p>
      <w:pPr>
        <w:numPr>
          <w:ilvl w:val="0"/>
          <w:numId w:val="7"/>
        </w:numPr>
        <w:spacing w:lineRule="auto"/>
      </w:pPr>
      <w:r>
        <w:rPr/>
        <w:t xml:space="preserve">Vraag: Bevestig meet- en acceptatiecriteria voor: vlakheid (IRI of 3 m-lat), stroefheid (SRT/SKF/SFC), textuur, markering (RL/Qd), voegvulling (hechting/vulling), klinkerherstel (verzonken/geluidsnormen), en herprofilering (toleranties). Geef steekproefgrootte, meetfrequentie, hold/witness points en hersteltermijnen bij afkeur.</w:t>
      </w:r>
    </w:p>
    <w:p>
      <w:pPr>
        <w:numPr>
          <w:ilvl w:val="0"/>
          <w:numId w:val="7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7"/>
        </w:numPr>
        <w:spacing w:lineRule="auto"/>
      </w:pPr>
      <w:r>
        <w:rPr/>
        <w:t xml:space="preserve">Impact: Kwaliteitsborging (ISO 9001), planning, kosten bij herstel.</w:t>
      </w:r>
    </w:p>
    <w:p>
      <w:pPr>
        <w:numPr>
          <w:ilvl w:val="0"/>
          <w:numId w:val="7"/>
        </w:numPr>
        <w:spacing w:lineRule="auto"/>
      </w:pPr>
      <w:r>
        <w:rPr/>
        <w:t xml:space="preserve">Afhankelijkheden: RAW/Standaardbestek, gemeentelijke acceptatiekaders.</w:t>
      </w:r>
    </w:p>
    <w:p>
      <w:pPr>
        <w:numPr>
          <w:ilvl w:val="0"/>
          <w:numId w:val="7"/>
        </w:numPr>
        <w:spacing w:lineRule="auto"/>
      </w:pPr>
      <w:r>
        <w:rPr/>
        <w:t xml:space="preserve">PDCA-focus: P=ITP/kwaliteitsschema; C=metingen en audits; A=CAPA-proces.</w:t>
      </w:r>
    </w:p>
    <w:p>
      <w:pPr>
        <w:numPr>
          <w:ilvl w:val="0"/>
          <w:numId w:val="7"/>
        </w:numPr>
        <w:spacing w:lineRule="auto"/>
      </w:pPr>
      <w:r>
        <w:rPr/>
        <w:t xml:space="preserve">W-03 Uitvoering ↔ KPI: Opleveringen binnen planning ≥ 95% ↔ Risico R-07: Afkeur leidt tot vertraging ↔ Bewijs: Acceptatiehandboek + meetprotocollen + ITP-format.</w:t>
      </w:r>
    </w:p>
    <w:p>
      <w:pPr>
        <w:spacing w:lineRule="auto"/>
      </w:pPr>
      <w:r>
        <w:rPr/>
        <w:t xml:space="preserve">Vraag 8 – EMVI-criteria “wat goed eruitziet”</w:t>
      </w:r>
    </w:p>
    <w:p>
      <w:pPr>
        <w:numPr>
          <w:ilvl w:val="0"/>
          <w:numId w:val="8"/>
        </w:numPr>
        <w:spacing w:lineRule="auto"/>
      </w:pPr>
      <w:r>
        <w:rPr/>
        <w:t xml:space="preserve">Vraag: Verduidelijk “wat good looks like” per EMVI-criterium (Kwaliteit 40%, Duurzaamheid 20%, Risicobeheersing 20%, Prijs 20%): gewenste subthema’s, minimale/optimale ambities (bijv. CO₂-reductie ≥ X%, klanttevredenheid ≥ 8,3), en scoringsmethodiek (lineair/knik). Zijn bonus/malus of prestatieprikkels gekoppeld aan SLA’s voorzien?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Focus Plan van Aanpak, investeringsniveau en risicobeperking.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Beoordelingsleidraad, gunningsleidraad, SLA-bijlage.</w:t>
      </w:r>
    </w:p>
    <w:p>
      <w:pPr>
        <w:numPr>
          <w:ilvl w:val="0"/>
          <w:numId w:val="8"/>
        </w:numPr>
        <w:spacing w:lineRule="auto"/>
      </w:pPr>
      <w:r>
        <w:rPr/>
        <w:t xml:space="preserve">PDCA-focus: P=ambitieniveaus; C=periodieke prestatiereviews; A=verbeteracties.</w:t>
      </w:r>
    </w:p>
    <w:p>
      <w:pPr>
        <w:numPr>
          <w:ilvl w:val="0"/>
          <w:numId w:val="8"/>
        </w:numPr>
        <w:spacing w:lineRule="auto"/>
      </w:pPr>
      <w:r>
        <w:rPr/>
        <w:t xml:space="preserve">W-08 EMVI &amp; KPI’s ↔ KPI: Klanttevredenheid ≥ 8,0 ↔ Risico R-08: Suboptimale score door mismatch met beoordelingskaders ↔ Bewijs: Beoordelingsleidraad met scoretabellen.</w:t>
      </w:r>
    </w:p>
    <w:p>
      <w:pPr>
        <w:spacing w:lineRule="auto"/>
      </w:pPr>
      <w:r>
        <w:rPr/>
        <w:t xml:space="preserve">Vraag 9 – Planning, werkvensters en omgevingsbeperkingen</w:t>
      </w:r>
    </w:p>
    <w:p>
      <w:pPr>
        <w:numPr>
          <w:ilvl w:val="0"/>
          <w:numId w:val="9"/>
        </w:numPr>
        <w:spacing w:lineRule="auto"/>
      </w:pPr>
      <w:r>
        <w:rPr/>
        <w:t xml:space="preserve">Vraag: Werkvensters per gebiedscategorie (woonwijk, centrum, hoofdinfrastructuur): dag/avond/nacht, weekend, geluids- en trillingseisen, evenementen- en marktagenda’s, schoolzones en toetsing bereikbaarheid hulpdiensten. Graag ook definitie KPI “Opleveringen binnen planning ≥ 95%”: wat is “binnen planning” (oorspronkelijke vs. herplande datum)?</w:t>
      </w:r>
    </w:p>
    <w:p>
      <w:pPr>
        <w:numPr>
          <w:ilvl w:val="0"/>
          <w:numId w:val="9"/>
        </w:numPr>
        <w:spacing w:lineRule="auto"/>
      </w:pPr>
      <w:r>
        <w:rPr/>
        <w:t xml:space="preserve">Prioriteit: Middel-hoog</w:t>
      </w:r>
    </w:p>
    <w:p>
      <w:pPr>
        <w:numPr>
          <w:ilvl w:val="0"/>
          <w:numId w:val="9"/>
        </w:numPr>
        <w:spacing w:lineRule="auto"/>
      </w:pPr>
      <w:r>
        <w:rPr/>
        <w:t xml:space="preserve">Impact: Faseplan, hinderbeperking, inzet nachtploegen.</w:t>
      </w:r>
    </w:p>
    <w:p>
      <w:pPr>
        <w:numPr>
          <w:ilvl w:val="0"/>
          <w:numId w:val="9"/>
        </w:numPr>
        <w:spacing w:lineRule="auto"/>
      </w:pPr>
      <w:r>
        <w:rPr/>
        <w:t xml:space="preserve">Afhankelijkheden: Vergunningen, evenementenagenda, beleidsregels geluid.</w:t>
      </w:r>
    </w:p>
    <w:p>
      <w:pPr>
        <w:numPr>
          <w:ilvl w:val="0"/>
          <w:numId w:val="9"/>
        </w:numPr>
        <w:spacing w:lineRule="auto"/>
      </w:pPr>
      <w:r>
        <w:rPr/>
        <w:t xml:space="preserve">PDCA-focus: P=jaar-/weekplanning; C=voortgangsrapportage; A=herplannen bij verstoringen.</w:t>
      </w:r>
    </w:p>
    <w:p>
      <w:pPr>
        <w:numPr>
          <w:ilvl w:val="0"/>
          <w:numId w:val="9"/>
        </w:numPr>
        <w:spacing w:lineRule="auto"/>
      </w:pPr>
      <w:r>
        <w:rPr/>
        <w:t xml:space="preserve">W-01 Assetplanning ↔ KPI: Opleveringen binnen planning ≥ 95% ↔ Risico R-09: Niet-halen door omgevingsbeperkingen ↔ Bewijs: Werkvensterbeleid + definitie KPI + kalender.</w:t>
      </w:r>
    </w:p>
    <w:p>
      <w:pPr>
        <w:spacing w:lineRule="auto"/>
      </w:pPr>
      <w:r>
        <w:rPr/>
        <w:t xml:space="preserve">Vraag 10 – Kabels/leidingen, archeologie en vergunningen</w:t>
      </w:r>
    </w:p>
    <w:p>
      <w:pPr>
        <w:numPr>
          <w:ilvl w:val="0"/>
          <w:numId w:val="10"/>
        </w:numPr>
        <w:spacing w:lineRule="auto"/>
      </w:pPr>
      <w:r>
        <w:rPr/>
        <w:t xml:space="preserve">Vraag: KLIC-proces: wie is verantwoordelijke aanmelder en termijn? Beschikbare as-built datasets kabels/leidingen en archeologische aandachtsgebieden? Vergunningroutes voor wegafsluitingen/gestuurde boring/boombescherming, doorlooptijden en toetsingscriteria. Zijn NGE-/bodem- en flora/faunarestricties relevant binnen het areaal?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0"/>
        </w:numPr>
        <w:spacing w:lineRule="auto"/>
      </w:pPr>
      <w:r>
        <w:rPr/>
        <w:t xml:space="preserve">Impact: Doorlooptijden, ontwerp van maatregelen en risico op stagnatie.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Beheerkaarten, vergunningenloket, ecologische kalender.</w:t>
      </w:r>
    </w:p>
    <w:p>
      <w:pPr>
        <w:numPr>
          <w:ilvl w:val="0"/>
          <w:numId w:val="10"/>
        </w:numPr>
        <w:spacing w:lineRule="auto"/>
      </w:pPr>
      <w:r>
        <w:rPr/>
        <w:t xml:space="preserve">PDCA-focus: P=vergunningsplanning; C=vergunningsstatus-checks; A=mitigerende maatregelen.</w:t>
      </w:r>
    </w:p>
    <w:p>
      <w:pPr>
        <w:numPr>
          <w:ilvl w:val="0"/>
          <w:numId w:val="10"/>
        </w:numPr>
        <w:spacing w:lineRule="auto"/>
      </w:pPr>
      <w:r>
        <w:rPr/>
        <w:t xml:space="preserve">W-03 Uitvoering ↔ KPI: Opleveringen binnen planning ≥ 95% ↔ Risico R-10: Stilstand door late KLIC/vergunning ↔ Bewijs: Beheerkaarten, vergunningenmatrix, ecologische randvoorwaarden.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Meld- en meetprotocol storingsdienst (t=0, categorieën A/B/C, responstijd- en hersteltijd-definities, escalaties).</w:t>
      </w:r>
    </w:p>
    <w:p>
      <w:pPr>
        <w:numPr>
          <w:ilvl w:val="0"/>
          <w:numId w:val="11"/>
        </w:numPr>
        <w:spacing w:lineRule="auto"/>
      </w:pPr>
      <w:r>
        <w:rPr/>
        <w:t xml:space="preserve">Concept-raamovereenkomst incl. volume-/budgetplafond, call-off proces, prijsblad en indexeringsmethodiek.</w:t>
      </w:r>
    </w:p>
    <w:p>
      <w:pPr>
        <w:numPr>
          <w:ilvl w:val="0"/>
          <w:numId w:val="11"/>
        </w:numPr>
        <w:spacing w:lineRule="auto"/>
      </w:pPr>
      <w:r>
        <w:rPr/>
        <w:t xml:space="preserve">GIS-portaalhandleiding: API-specs, velddefinities, coördinatenstelsel, validatieregels, sjabloon weekrapport.</w:t>
      </w:r>
    </w:p>
    <w:p>
      <w:pPr>
        <w:numPr>
          <w:ilvl w:val="0"/>
          <w:numId w:val="11"/>
        </w:numPr>
        <w:spacing w:lineRule="auto"/>
      </w:pPr>
      <w:r>
        <w:rPr/>
        <w:t xml:space="preserve">Richtlijn verkeersmaatregelen (CROW 96a/96b) en gemeentelijke aanvullende eisen; TMP-format en incidentprotocol.</w:t>
      </w:r>
    </w:p>
    <w:p>
      <w:pPr>
        <w:numPr>
          <w:ilvl w:val="0"/>
          <w:numId w:val="11"/>
        </w:numPr>
        <w:spacing w:lineRule="auto"/>
      </w:pPr>
      <w:r>
        <w:rPr/>
        <w:t xml:space="preserve">Definitie “emissiearm materieel”, CO₂-meetprotocol/baseline, circulariteitskaders (RAP%, WMA, MKI-rapportage).</w:t>
      </w:r>
    </w:p>
    <w:p>
      <w:pPr>
        <w:numPr>
          <w:ilvl w:val="0"/>
          <w:numId w:val="11"/>
        </w:numPr>
        <w:spacing w:lineRule="auto"/>
      </w:pPr>
      <w:r>
        <w:rPr/>
        <w:t xml:space="preserve">Winterdienstdocumenten: prioriteitsroutes (GIS), servicelevels per routeklasse, RWIS-toegang, zoutlogistiek.</w:t>
      </w:r>
    </w:p>
    <w:p>
      <w:pPr>
        <w:numPr>
          <w:ilvl w:val="0"/>
          <w:numId w:val="11"/>
        </w:numPr>
        <w:spacing w:lineRule="auto"/>
      </w:pPr>
      <w:r>
        <w:rPr/>
        <w:t xml:space="preserve">Acceptatie- en meetkaders: vlakheid/stroefheid/markering/voegen/klinkers, steekproeven, hold/witness points, hersteltermijnen.</w:t>
      </w:r>
    </w:p>
    <w:p>
      <w:pPr>
        <w:numPr>
          <w:ilvl w:val="0"/>
          <w:numId w:val="11"/>
        </w:numPr>
        <w:spacing w:lineRule="auto"/>
      </w:pPr>
      <w:r>
        <w:rPr/>
        <w:t xml:space="preserve">EMVI-beoordelingsleidraad met subcriteria, scoremethodiek en eventuele bonus/malus.</w:t>
      </w:r>
    </w:p>
    <w:p>
      <w:pPr>
        <w:numPr>
          <w:ilvl w:val="0"/>
          <w:numId w:val="11"/>
        </w:numPr>
        <w:spacing w:lineRule="auto"/>
      </w:pPr>
      <w:r>
        <w:rPr/>
        <w:t xml:space="preserve">Werkvensterbeleid, evenementen-/marktagenda en definitie KPI “Opleveringen binnen planning”.</w:t>
      </w:r>
    </w:p>
    <w:p>
      <w:pPr>
        <w:numPr>
          <w:ilvl w:val="0"/>
          <w:numId w:val="11"/>
        </w:numPr>
        <w:spacing w:lineRule="auto"/>
      </w:pPr>
      <w:r>
        <w:rPr/>
        <w:t xml:space="preserve">Beheerkaarten kabels/leidingen, archeologie-overzicht, vergunningenmatrix (doorlooptijden, verantwoordelijkheden), ecologische randvoorwaarden.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