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Titel: Compliance — Onderhoud en verduurzaming gemeentelijke wegen 2025–2029 (UTR-MAINT-2025-041) — InfraTech Solutions B.V.</w:t>
      </w:r>
    </w:p>
    <w:p>
      <w:pPr>
        <w:spacing w:lineRule="auto"/>
      </w:pPr>
      <w:r>
        <w:rPr/>
        <w:t xml:space="preserve">Tabel: Compliance-matrix (UEA, KO/REQ, bewijs, bijlage)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 – Deel II: Informatie over inschrijver (InfraTech Solutions B.V., KVK 78213456, BTW NL782134567B01, Reactorweg 14, 3542 AD Utrecht)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UEA volledig ingevuld met actuele bedrijfsgegevens en contactpersoon (Sanne de Groot). Do: Ondertekening door bevoegd bestuurder. Check: Interne legal check vóór indiening. Act: Update bij wijziging bestuurs- of vestigingsgegevens. Bewijs: ondertekend UEA + recent KvK-uittreksel.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B12, B13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 – Deel III: Geen uitsluitingsgronden van toepassing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Zelfverklaring geen uitsluitingsgronden (conform Richtlijn 2014/24/EU). Do: Screening sanctielijsten en fiscale/ sociale naleving. Check: Verklaring betalingsgedrag Belastingdienst beschikbaar. Act: Meldplicht bij eventuele wijziging.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B12, B14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 – Deel IV: Geschiktheid – beroepsbevoegdheid en technische bekwaamheid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Overzicht certificeringen (ISO 9001, ISO 14001, VCA**), kerncompetenties GWW, materieellijst. Do: Toelichting capaciteiten W-01 t/m W-08. Check: Interne auditcertificaten actueel. Act: Continu verbeteren via PDCA.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B1, B2, B3, B5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ISO 9001 certificering verplicht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Kwaliteitsmanagementsysteem (KMS) dekt W-01 Inspectie, W-02 Asfalt, W-03 Elementen, W-04 Markering, W-05 Winterdienst, W-06 Verkeersmaatregelen, W-07 GIS-oplevering, W-08 Duurzaamheid. Do: ITP’s, NCR-proces, leveranciersbeoordeling. Check: Interne audits, managementreview; KPI-3 (≥95% planning) en afkeur &lt;2%. Act: Correctieve/ preventieve acties op R-04 (kwaliteitsafkeur).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B1, B8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ISO 14001 certificering verplicht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Milieumanagementsysteem met CO₂-reductiedoelen en afvalscheiding op werk. Do: Emissiearm materieel, HVO100, elektrisch waar praktisch, hergebruik freesasfalt. Check: KPI-4 (CO₂ per ton asfalt, -30% in 2027 t.o.v. 2024). Act: Bijsturen op R-02 (onvoldoende emissiereductie).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B2, B4, B5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storingsdienst met responstijd 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Storingsdesk 24/7, piketroosters Utrecht-regio, SLA KPI-2 ≤2u. Do: 2 stand-by ploegen, voorraadhouding koudasfalt/zout, navigatie met geofencing. Check: Real-time monitoring responstijden in dashboard; maandelijkse rapportage. Act: Escalatie en capaciteitsopschaling bij trend &gt;1u45 (R-01).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B6, 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Gebruik van emissiearm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Materieelplan met zero/low-emission prioriteit: elektrische trilplaten/rollers, Stage V frezen, HVO100-diesel back-up. Do: Uitrol schema per W-02/W-03/W-05; inzet groene stroom op depot. Check: CO₂-metering per machine; kwartaalrapportage KPI-4. Act: Versnellen vervanging bij overschrijding norm (R-02).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B5, B4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weekrapportages via gemeentelijk GIS-portaal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GIS-werkstroom: veldapp (GeoJSON) → validatie → upload via WFS/WMS/API naar gemeentelijk portaal. Do: Registratie foto’s, locaties, hoeveelheden per W-01 t/m W-04 en W-06; wekelijks vóór maandag 12:00. Check: KPI-5: 100% dossiers compleet binnen 5 werkdagen; automatische validatie op attributen. Act: Root-cause bij afkeur (R-03/R-06), training bij herhaalfouten.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B7, B10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(PvA)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SMART PvA per werkpakket W-01–W-08 incl. mijlpalen, verantwoordelijkheden, hinderbeperking. Do: Uitvoering conform werkplannen/ ITPlijnen. Check: Weekly QHSE- en voortgangsmeeting; KPI-3. Act: Herplanning/ optimalisatie bij afwijkingen (R-04/R-07).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B8, 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RISMAN-register met top-risico’s: R-01 winteruitruk, R-02 emissie, R-03 GIS-data, R-04 kwaliteit asfalt, R-05 veiligheid werkplek, R-06 rapportagetijdigheid, R-07 omgevingshinder. Do: Beheersmaatregelen (TM/PM/QC/VTMS). Check: Maandelijkse risicosessie; trendanalyse. Act: Bijstellen maatregelen en contingency.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KPI-1 klanttevredenheid ≥8,0; KPI-2 responstijd ≤2u; KPI-3 oplevering ≥95%; KPI-4 CO₂/ton asfalt -30% in 2027; KPI-5 GIS compleetheid 100%/5 wd. Do: Meting via systemen (helpdesk, planning, CO₂-tooling, GIS). Check: Dashboard; kwartaalreview met opdrachtgever. Act: Verbeteracties en bonus/malus-verwerking.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Klanttevredenheid 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Meetplan: digitale enquête na afronding deelopdrachten en seizoensevaluaties winterdienst. Do: Actieve klachtopvolging (≤2 werkdagen). Check: KPI-1 trend ≥8,0; analyse per wijk/werksoort. Act: Serviceverbeteringen, extra communicatie bij R-07 (hinder).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Responstijd storingen 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SLA-proces en call-flow. Do: Geolocatie dichtstbijzijnde ploeg; standaardmateriaal in bus. Check: KPI-2 live; rapportage wekelijks. Act: Extra stand-by capaciteit bij piek.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B6, 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Opleveringen binnen planning 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Rolling wave planning, 3-weken lookahead. Do: Constraint- en leveringscheck (markeringen, asfaltcentrale). Check: KPI-3; earned value. Act: Hersequencing, alternatieve technieken (koude asfalt) bij R-04/R-06.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Verkeersveiligheidsmaatregelen conform CROW/VMK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VTMS-plan per locatie, gecertificeerde verkeersregelaars. Do: Op- en afbouw schouw; barrieringsplan; nachtwerk waar nodig. Check: Werkplekinspecties; incidentmelding 0-uren. Act: Aanpassing plan bij afwijkingen (R-05).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B9, B3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Winterdienst (strooien/schuiven)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Routeboek Utrecht, trigger op gladheidsmeldingen, pekel (NaCl) met voorbevochtiging. Do: Stand-by ploegen en zoutvoorraad ≥5 dagen. Check: KPI-2 en prestatieverslag per uitruk. Act: Optimaliseren routes na evaluatie.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B5, B6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Markeringen (kouplast/thermoplast) en voeg-/scheurvulling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Materiaalkeuze op levensduurkosten; lage VOC-producten waar mogelijk. Do: Voorbehandeling, klimaateisen borgen, proefvlakken. Check: Hechtingsproef; visuele inspectie na 1 en 6 maanden. Act: Correctie bij vroegtijdige slijtage (R-04).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oplevering as-built (GIS) conform datamodel gemeente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Datamodelmapping (velden: segment-ID, activiteit, hoeveelheid, datum, foto’s, coördinaten RD). Do: Validatie script; upload batch per week. Check: KPI-5; afkeur &lt;2%. Act: Script-update bij schemawijziging (R-03).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B7, B10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CO₂-reductieplan en rapportage (PSL niveau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Routekaart 2025–2029 met -30% CO₂/ton asfalt in 2027 en -40% in 2029 t.o.v. 2024; modal shift logistiek; HIR/warme asfaltopties. Do: HVO100, elektrisch klein materieel, optimalisatie ritten. Check: Audit PSL-4; kwartaal CO₂-rapport. Act: Extra maatregelen bij afwijking (R-02).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B4, B5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 en informatiebeveiliging bij digitale rapportages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DPIA light voor foto’s met mogelijk PII; dataminimalisatie. Do: Blurring van kentekens/gezichten; versleutelde opslag en TLS-upload. Check: Periodieke audit; datalek-procedure. Act: Aanpassen werkinstructie bij bevindingen.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Garantie 12 maanden op uitgevoerde werken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Garantievoorwaarden conform inschrijving. Do: Herstel binnen 10 werkdagen na melding. Check: Garantie-log; trendanalyse op uitval. Act: Oorzakanalyse en verbetermaatregel PvA.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B8, B11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Bewijsstukken en bijlagen (codes):</w:t>
      </w:r>
    </w:p>
    <w:p>
      <w:pPr>
        <w:numPr>
          <w:ilvl w:val="0"/>
          <w:numId w:val="1"/>
        </w:numPr>
        <w:spacing w:lineRule="auto"/>
      </w:pPr>
      <w:r>
        <w:rPr/>
        <w:t xml:space="preserve">B1: ISO 9001:2015 certificaat (kopie, actueel, scope GWW)</w:t>
      </w:r>
    </w:p>
    <w:p>
      <w:pPr>
        <w:numPr>
          <w:ilvl w:val="0"/>
          <w:numId w:val="1"/>
        </w:numPr>
        <w:spacing w:lineRule="auto"/>
      </w:pPr>
      <w:r>
        <w:rPr/>
        <w:t xml:space="preserve">B2: ISO 14001:2015 certificaat (kopie, actueel)</w:t>
      </w:r>
    </w:p>
    <w:p>
      <w:pPr>
        <w:numPr>
          <w:ilvl w:val="0"/>
          <w:numId w:val="1"/>
        </w:numPr>
        <w:spacing w:lineRule="auto"/>
      </w:pPr>
      <w:r>
        <w:rPr/>
        <w:t xml:space="preserve">B3: VCA** certificaat (kopie)</w:t>
      </w:r>
    </w:p>
    <w:p>
      <w:pPr>
        <w:numPr>
          <w:ilvl w:val="0"/>
          <w:numId w:val="1"/>
        </w:numPr>
        <w:spacing w:lineRule="auto"/>
      </w:pPr>
      <w:r>
        <w:rPr/>
        <w:t xml:space="preserve">B4: CO₂-prestatieladder niveau 4 certificaat + CO₂-reductieplan 2025–2029</w:t>
      </w:r>
    </w:p>
    <w:p>
      <w:pPr>
        <w:numPr>
          <w:ilvl w:val="0"/>
          <w:numId w:val="1"/>
        </w:numPr>
        <w:spacing w:lineRule="auto"/>
      </w:pPr>
      <w:r>
        <w:rPr/>
        <w:t xml:space="preserve">B5: Materieeloverzicht met emissieklassen, brandstoffen en inzetstrategie (Stage V/elektrisch/HVO100)</w:t>
      </w:r>
    </w:p>
    <w:p>
      <w:pPr>
        <w:numPr>
          <w:ilvl w:val="0"/>
          <w:numId w:val="1"/>
        </w:numPr>
        <w:spacing w:lineRule="auto"/>
      </w:pPr>
      <w:r>
        <w:rPr/>
        <w:t xml:space="preserve">B6: 24/7 storingsdienst SLA-proces, piketroosters en call-flow</w:t>
      </w:r>
    </w:p>
    <w:p>
      <w:pPr>
        <w:numPr>
          <w:ilvl w:val="0"/>
          <w:numId w:val="1"/>
        </w:numPr>
        <w:spacing w:lineRule="auto"/>
      </w:pPr>
      <w:r>
        <w:rPr/>
        <w:t xml:space="preserve">B7: GIS-rapportageprocedure, datamodelmapping en API/WFS/WMS instructie</w:t>
      </w:r>
    </w:p>
    <w:p>
      <w:pPr>
        <w:numPr>
          <w:ilvl w:val="0"/>
          <w:numId w:val="1"/>
        </w:numPr>
        <w:spacing w:lineRule="auto"/>
      </w:pPr>
      <w:r>
        <w:rPr/>
        <w:t xml:space="preserve">B8: Kwaliteitsplan (PvA/ITP’s/keuringen voor asfalt, elementen, markering)</w:t>
      </w:r>
    </w:p>
    <w:p>
      <w:pPr>
        <w:numPr>
          <w:ilvl w:val="0"/>
          <w:numId w:val="1"/>
        </w:numPr>
        <w:spacing w:lineRule="auto"/>
      </w:pPr>
      <w:r>
        <w:rPr/>
        <w:t xml:space="preserve">B9: VTMS/ verkeersveiligheidsplan conform CROW-richtlijnen</w:t>
      </w:r>
    </w:p>
    <w:p>
      <w:pPr>
        <w:numPr>
          <w:ilvl w:val="0"/>
          <w:numId w:val="1"/>
        </w:numPr>
        <w:spacing w:lineRule="auto"/>
      </w:pPr>
      <w:r>
        <w:rPr/>
        <w:t xml:space="preserve">B10: Templates/voorbeeld weekrapportage en as-built dataset (geanonimiseerd)</w:t>
      </w:r>
    </w:p>
    <w:p>
      <w:pPr>
        <w:numPr>
          <w:ilvl w:val="0"/>
          <w:numId w:val="1"/>
        </w:numPr>
        <w:spacing w:lineRule="auto"/>
      </w:pPr>
      <w:r>
        <w:rPr/>
        <w:t xml:space="preserve">B11: KPI- en risicodashboard (definities, meetmethodiek, rapportagecyclus)</w:t>
      </w:r>
    </w:p>
    <w:p>
      <w:pPr>
        <w:numPr>
          <w:ilvl w:val="0"/>
          <w:numId w:val="1"/>
        </w:numPr>
        <w:spacing w:lineRule="auto"/>
      </w:pPr>
      <w:r>
        <w:rPr/>
        <w:t xml:space="preserve">B12: Ondertekend UEA</w:t>
      </w:r>
    </w:p>
    <w:p>
      <w:pPr>
        <w:numPr>
          <w:ilvl w:val="0"/>
          <w:numId w:val="1"/>
        </w:numPr>
        <w:spacing w:lineRule="auto"/>
      </w:pPr>
      <w:r>
        <w:rPr/>
        <w:t xml:space="preserve">B13: Recent KvK-uittreksel</w:t>
      </w:r>
    </w:p>
    <w:p>
      <w:pPr>
        <w:numPr>
          <w:ilvl w:val="0"/>
          <w:numId w:val="1"/>
        </w:numPr>
        <w:spacing w:lineRule="auto"/>
      </w:pPr>
      <w:r>
        <w:rPr/>
        <w:t xml:space="preserve">B14: Verklaring betalingsgedrag Belastingdienst (indien gevraagd)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"/>
        </w:numPr>
        <w:spacing w:lineRule="auto"/>
      </w:pPr>
      <w:r>
        <w:rPr/>
        <w:t xml:space="preserve">B1–B3: Actuele certificaatkopieën (ISO 9001, ISO 14001, VCA**).</w:t>
      </w:r>
    </w:p>
    <w:p>
      <w:pPr>
        <w:numPr>
          <w:ilvl w:val="0"/>
          <w:numId w:val="2"/>
        </w:numPr>
        <w:spacing w:lineRule="auto"/>
      </w:pPr>
      <w:r>
        <w:rPr/>
        <w:t xml:space="preserve">B4: CO₂-prestatieladder niveau 4 certificaat + recent CO₂-reductieplan 2025–2029.</w:t>
      </w:r>
    </w:p>
    <w:p>
      <w:pPr>
        <w:numPr>
          <w:ilvl w:val="0"/>
          <w:numId w:val="2"/>
        </w:numPr>
        <w:spacing w:lineRule="auto"/>
      </w:pPr>
      <w:r>
        <w:rPr/>
        <w:t xml:space="preserve">B5: Volledig materieeloverzicht met emissieklasse en brandstof per machine.</w:t>
      </w:r>
    </w:p>
    <w:p>
      <w:pPr>
        <w:numPr>
          <w:ilvl w:val="0"/>
          <w:numId w:val="2"/>
        </w:numPr>
        <w:spacing w:lineRule="auto"/>
      </w:pPr>
      <w:r>
        <w:rPr/>
        <w:t xml:space="preserve">B6: SLA 24/7 storingsdienst (procesbeschrijving, piketroosters, responstijdmeetwijze).</w:t>
      </w:r>
    </w:p>
    <w:p>
      <w:pPr>
        <w:numPr>
          <w:ilvl w:val="0"/>
          <w:numId w:val="2"/>
        </w:numPr>
        <w:spacing w:lineRule="auto"/>
      </w:pPr>
      <w:r>
        <w:rPr/>
        <w:t xml:space="preserve">B7: Technische beschrijving GIS-koppeling met gemeentelijk portaal (formaten, validaties).</w:t>
      </w:r>
    </w:p>
    <w:p>
      <w:pPr>
        <w:numPr>
          <w:ilvl w:val="0"/>
          <w:numId w:val="2"/>
        </w:numPr>
        <w:spacing w:lineRule="auto"/>
      </w:pPr>
      <w:r>
        <w:rPr/>
        <w:t xml:space="preserve">B8: Kwaliteitsplan/ITP’s (asfalt, elementen, markering) inclusief keuringsformulieren.</w:t>
      </w:r>
    </w:p>
    <w:p>
      <w:pPr>
        <w:numPr>
          <w:ilvl w:val="0"/>
          <w:numId w:val="2"/>
        </w:numPr>
        <w:spacing w:lineRule="auto"/>
      </w:pPr>
      <w:r>
        <w:rPr/>
        <w:t xml:space="preserve">B9: VTMS/werkplekbeveiligingsplan en bewijs inzet gecertificeerde verkeersregelaars.</w:t>
      </w:r>
    </w:p>
    <w:p>
      <w:pPr>
        <w:numPr>
          <w:ilvl w:val="0"/>
          <w:numId w:val="2"/>
        </w:numPr>
        <w:spacing w:lineRule="auto"/>
      </w:pPr>
      <w:r>
        <w:rPr/>
        <w:t xml:space="preserve">B10: Voorbeeld weekrapportages (geanonimiseerd) en as-built export.</w:t>
      </w:r>
    </w:p>
    <w:p>
      <w:pPr>
        <w:numPr>
          <w:ilvl w:val="0"/>
          <w:numId w:val="2"/>
        </w:numPr>
        <w:spacing w:lineRule="auto"/>
      </w:pPr>
      <w:r>
        <w:rPr/>
        <w:t xml:space="preserve">B11: KPI-definities, dashboardsjablonen en PDCA-rapportagecyclus.</w:t>
      </w:r>
    </w:p>
    <w:p>
      <w:pPr>
        <w:numPr>
          <w:ilvl w:val="0"/>
          <w:numId w:val="2"/>
        </w:numPr>
        <w:spacing w:lineRule="auto"/>
      </w:pPr>
      <w:r>
        <w:rPr/>
        <w:t xml:space="preserve">B12–B13: Ondertekend UEA en recent KvK-uittreksel.</w:t>
      </w:r>
    </w:p>
    <w:p>
      <w:pPr>
        <w:numPr>
          <w:ilvl w:val="0"/>
          <w:numId w:val="2"/>
        </w:numPr>
        <w:spacing w:lineRule="auto"/>
      </w:pPr>
      <w:r>
        <w:rPr/>
        <w:t xml:space="preserve">B14: Verklaring betalingsgedrag Belastingdienst (optioneel, indien opgevraagd door aanbestedende dienst).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