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 — InfraTech Solutions B.V. (UTR-MAINT-2025-041)</w:t>
      </w:r>
    </w:p>
    <w:p>
      <w:pPr>
        <w:spacing w:lineRule="auto"/>
      </w:pPr>
      <w:r>
        <w:rPr/>
        <w:t xml:space="preserve">Doel en scope Deze referentie-bundel borgt dat onze ervaring aantoonbaar aansluit op de scope “Onderhoud en verduurzaming gemeentelijke wegen 2025–2029” van Gemeente Utrecht (preventief/correctief onderhoud asfalt en klinkers, inspectie, herstel, herprofilering, voegvulling, markering, winterdienst, CO2-reductie, emissiearm materieel, verkeersveiligheid, digitale GIS-oplevering). Wij leveren 3–5 referentieprojecten met meetbare resultaten, KPI’s, risico- en bewijskoppeling. Conform ISO 9001/14001 en CO2-Prestatieladder niveau 4 tonen we uitsluitend verifieerbare feiten en contactpersonen met toestemmingsverklaring.</w:t>
      </w:r>
    </w:p>
    <w:p>
      <w:pPr>
        <w:spacing w:lineRule="auto"/>
      </w:pPr>
      <w:r>
        <w:rPr/>
        <w:t xml:space="preserve">Integriteits- en verificatiekaders</w:t>
      </w:r>
    </w:p>
    <w:p>
      <w:pPr>
        <w:numPr>
          <w:ilvl w:val="0"/>
          <w:numId w:val="1"/>
        </w:numPr>
        <w:spacing w:lineRule="auto"/>
      </w:pPr>
      <w:r>
        <w:rPr/>
        <w:t xml:space="preserve">Feitelijkheid: geen fictieve projecten, cijfers of contactpersonen. Alleen door opdrachtgever verifieerbare resultaten.</w:t>
      </w:r>
    </w:p>
    <w:p>
      <w:pPr>
        <w:numPr>
          <w:ilvl w:val="0"/>
          <w:numId w:val="1"/>
        </w:numPr>
        <w:spacing w:lineRule="auto"/>
      </w:pPr>
      <w:r>
        <w:rPr/>
        <w:t xml:space="preserve">Toestemming: schriftelijke toestemming van de referent (AVG-conform) voor naam, functie, e-mailadres en telefoonnummer.</w:t>
      </w:r>
    </w:p>
    <w:p>
      <w:pPr>
        <w:numPr>
          <w:ilvl w:val="0"/>
          <w:numId w:val="1"/>
        </w:numPr>
        <w:spacing w:lineRule="auto"/>
      </w:pPr>
      <w:r>
        <w:rPr/>
        <w:t xml:space="preserve">Bewijs: voor elke KPI minimaal één objectieve bron (weegsbonnen, GPS/telematica, auditrapporten, GIS-export, keuringsrapport, enquête-uitslag).</w:t>
      </w:r>
    </w:p>
    <w:p>
      <w:pPr>
        <w:numPr>
          <w:ilvl w:val="0"/>
          <w:numId w:val="1"/>
        </w:numPr>
        <w:spacing w:lineRule="auto"/>
      </w:pPr>
      <w:r>
        <w:rPr/>
        <w:t xml:space="preserve">Herleidbaarheid: cijfers zijn herleidbaar tot bronbestanden en steekproefsgewijs te delen in een dataroom.</w:t>
      </w:r>
    </w:p>
    <w:p>
      <w:pPr>
        <w:spacing w:lineRule="auto"/>
      </w:pPr>
      <w:r>
        <w:rPr/>
        <w:t xml:space="preserve">PDCA-proces voor referentieselectie en -borging</w:t>
      </w:r>
    </w:p>
    <w:p>
      <w:pPr>
        <w:numPr>
          <w:ilvl w:val="0"/>
          <w:numId w:val="2"/>
        </w:numPr>
        <w:spacing w:lineRule="auto"/>
      </w:pPr>
      <w:r>
        <w:rPr/>
        <w:t xml:space="preserve">Plan (week 1):</w:t>
      </w:r>
    </w:p>
    <w:p>
      <w:pPr>
        <w:numPr>
          <w:ilvl w:val="1"/>
          <w:numId w:val="3"/>
        </w:numPr>
        <w:spacing w:lineRule="auto"/>
      </w:pPr>
      <w:r>
        <w:rPr/>
        <w:t xml:space="preserve">Selecteer 5 projecten die inhoudelijk aansluiten op: asfalt/klinkeronderhoud, winterdienst, verkeersmaatregelen, GIS-oplevering, emissiearm materieel.</w:t>
      </w:r>
    </w:p>
    <w:p>
      <w:pPr>
        <w:numPr>
          <w:ilvl w:val="1"/>
          <w:numId w:val="3"/>
        </w:numPr>
        <w:spacing w:lineRule="auto"/>
      </w:pPr>
      <w:r>
        <w:rPr/>
        <w:t xml:space="preserve">Definieer per project 5–8 KPI’s die matchen met de Utrechtse SLA’s (Responstijd ≤2u, Opleveringen ≥95%, Klanttevredenheid ≥8,0) en met duurzaamheid/veiligheid.</w:t>
      </w:r>
    </w:p>
    <w:p>
      <w:pPr>
        <w:numPr>
          <w:ilvl w:val="0"/>
          <w:numId w:val="2"/>
        </w:numPr>
        <w:spacing w:lineRule="auto"/>
      </w:pPr>
      <w:r>
        <w:rPr/>
        <w:t xml:space="preserve">Do (week 1–2):</w:t>
      </w:r>
    </w:p>
    <w:p>
      <w:pPr>
        <w:numPr>
          <w:ilvl w:val="1"/>
          <w:numId w:val="4"/>
        </w:numPr>
        <w:spacing w:lineRule="auto"/>
      </w:pPr>
      <w:r>
        <w:rPr/>
        <w:t xml:space="preserve">Verzamel brondata (planning vs. realisatie, meldingslog, brandstof-/energieverbruik, weegbonnen, keuringsrapporten, GIS-exports, VCA-/VGM-registraties).</w:t>
      </w:r>
    </w:p>
    <w:p>
      <w:pPr>
        <w:numPr>
          <w:ilvl w:val="1"/>
          <w:numId w:val="4"/>
        </w:numPr>
        <w:spacing w:lineRule="auto"/>
      </w:pPr>
      <w:r>
        <w:rPr/>
        <w:t xml:space="preserve">Leg referenttoestemming vast. Controleer dat contactgegevens actueel zijn.</w:t>
      </w:r>
    </w:p>
    <w:p>
      <w:pPr>
        <w:numPr>
          <w:ilvl w:val="0"/>
          <w:numId w:val="2"/>
        </w:numPr>
        <w:spacing w:lineRule="auto"/>
      </w:pPr>
      <w:r>
        <w:rPr/>
        <w:t xml:space="preserve">Check (week 2):</w:t>
      </w:r>
    </w:p>
    <w:p>
      <w:pPr>
        <w:numPr>
          <w:ilvl w:val="1"/>
          <w:numId w:val="5"/>
        </w:numPr>
        <w:spacing w:lineRule="auto"/>
      </w:pPr>
      <w:r>
        <w:rPr/>
        <w:t xml:space="preserve">Kwaliteitscontrole door QA-manager: steekproef op 20% van KPI’s; check dat alle W-xx ↔ KPI ↔ Risico ↔ Bewijs zijn gevuld.</w:t>
      </w:r>
    </w:p>
    <w:p>
      <w:pPr>
        <w:numPr>
          <w:ilvl w:val="1"/>
          <w:numId w:val="5"/>
        </w:numPr>
        <w:spacing w:lineRule="auto"/>
      </w:pPr>
      <w:r>
        <w:rPr/>
        <w:t xml:space="preserve">Documenteer eventuele afwijkingen en corrigerende maatregelen.</w:t>
      </w:r>
    </w:p>
    <w:p>
      <w:pPr>
        <w:numPr>
          <w:ilvl w:val="0"/>
          <w:numId w:val="2"/>
        </w:numPr>
        <w:spacing w:lineRule="auto"/>
      </w:pPr>
      <w:r>
        <w:rPr/>
        <w:t xml:space="preserve">Act (week 3):</w:t>
      </w:r>
    </w:p>
    <w:p>
      <w:pPr>
        <w:numPr>
          <w:ilvl w:val="1"/>
          <w:numId w:val="6"/>
        </w:numPr>
        <w:spacing w:lineRule="auto"/>
      </w:pPr>
      <w:r>
        <w:rPr/>
        <w:t xml:space="preserve">Finaliseer uniforme mini-tabellen per project.</w:t>
      </w:r>
    </w:p>
    <w:p>
      <w:pPr>
        <w:numPr>
          <w:ilvl w:val="1"/>
          <w:numId w:val="6"/>
        </w:numPr>
        <w:spacing w:lineRule="auto"/>
      </w:pPr>
      <w:r>
        <w:rPr/>
        <w:t xml:space="preserve">Borg leerpunten in het KAM-handboek (ISO 9001/14001) en onze CO2-Ladder emissieboekhouding.</w:t>
      </w:r>
    </w:p>
    <w:p>
      <w:pPr>
        <w:spacing w:lineRule="auto"/>
      </w:pPr>
      <w:r>
        <w:rPr/>
        <w:t xml:space="preserve">Kruisverbinding W-xx ↔ KPI ↔ Risico ↔ Bewijs (toepasbaar op alle referenties)</w:t>
      </w:r>
    </w:p>
    <w:p>
      <w:pPr>
        <w:numPr>
          <w:ilvl w:val="0"/>
          <w:numId w:val="7"/>
        </w:numPr>
        <w:spacing w:lineRule="auto"/>
      </w:pPr>
      <w:r>
        <w:rPr/>
        <w:t xml:space="preserve">W-01 24/7 storingsdienst (SLA ≤2 uur)</w:t>
      </w:r>
    </w:p>
    <w:p>
      <w:pPr>
        <w:numPr>
          <w:ilvl w:val="1"/>
          <w:numId w:val="8"/>
        </w:numPr>
        <w:spacing w:lineRule="auto"/>
      </w:pPr>
      <w:r>
        <w:rPr/>
        <w:t xml:space="preserve">KPI: Gemiddelde responstijd (minuten), P95 responstijd.</w:t>
      </w:r>
    </w:p>
    <w:p>
      <w:pPr>
        <w:numPr>
          <w:ilvl w:val="1"/>
          <w:numId w:val="8"/>
        </w:numPr>
        <w:spacing w:lineRule="auto"/>
      </w:pPr>
      <w:r>
        <w:rPr/>
        <w:t xml:space="preserve">Risico: Piekbelasting (winterdienst), simultane calamiteiten.</w:t>
      </w:r>
    </w:p>
    <w:p>
      <w:pPr>
        <w:numPr>
          <w:ilvl w:val="1"/>
          <w:numId w:val="8"/>
        </w:numPr>
        <w:spacing w:lineRule="auto"/>
      </w:pPr>
      <w:r>
        <w:rPr/>
        <w:t xml:space="preserve">Bewijs: Meldings- en dispatchlogs, GPS/telematica-tijdstempels.</w:t>
      </w:r>
    </w:p>
    <w:p>
      <w:pPr>
        <w:numPr>
          <w:ilvl w:val="0"/>
          <w:numId w:val="7"/>
        </w:numPr>
        <w:spacing w:lineRule="auto"/>
      </w:pPr>
      <w:r>
        <w:rPr/>
        <w:t xml:space="preserve">W-02 Opleveringen binnen planning (SLA ≥95%)</w:t>
      </w:r>
    </w:p>
    <w:p>
      <w:pPr>
        <w:numPr>
          <w:ilvl w:val="1"/>
          <w:numId w:val="9"/>
        </w:numPr>
        <w:spacing w:lineRule="auto"/>
      </w:pPr>
      <w:r>
        <w:rPr/>
        <w:t xml:space="preserve">KPI: % tijdig afgeronde werkorders, % herbezoeken.</w:t>
      </w:r>
    </w:p>
    <w:p>
      <w:pPr>
        <w:numPr>
          <w:ilvl w:val="1"/>
          <w:numId w:val="9"/>
        </w:numPr>
        <w:spacing w:lineRule="auto"/>
      </w:pPr>
      <w:r>
        <w:rPr/>
        <w:t xml:space="preserve">Risico: Leveringsketen en weersgevoeligheid.</w:t>
      </w:r>
    </w:p>
    <w:p>
      <w:pPr>
        <w:numPr>
          <w:ilvl w:val="1"/>
          <w:numId w:val="9"/>
        </w:numPr>
        <w:spacing w:lineRule="auto"/>
      </w:pPr>
      <w:r>
        <w:rPr/>
        <w:t xml:space="preserve">Bewijs: Weekrapportage planning vs. realisatie, dagrapporten.</w:t>
      </w:r>
    </w:p>
    <w:p>
      <w:pPr>
        <w:numPr>
          <w:ilvl w:val="0"/>
          <w:numId w:val="7"/>
        </w:numPr>
        <w:spacing w:lineRule="auto"/>
      </w:pPr>
      <w:r>
        <w:rPr/>
        <w:t xml:space="preserve">W-03 Klanttevredenheid (SLA ≥8,0)</w:t>
      </w:r>
    </w:p>
    <w:p>
      <w:pPr>
        <w:numPr>
          <w:ilvl w:val="1"/>
          <w:numId w:val="10"/>
        </w:numPr>
        <w:spacing w:lineRule="auto"/>
      </w:pPr>
      <w:r>
        <w:rPr/>
        <w:t xml:space="preserve">KPI: Gem. tevredenheidsscore, % respons.</w:t>
      </w:r>
    </w:p>
    <w:p>
      <w:pPr>
        <w:numPr>
          <w:ilvl w:val="1"/>
          <w:numId w:val="10"/>
        </w:numPr>
        <w:spacing w:lineRule="auto"/>
      </w:pPr>
      <w:r>
        <w:rPr/>
        <w:t xml:space="preserve">Risico: Hindercommunicatie en omgevingsmanagement.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Enquête-resultaten, klachtenlog, omgevingsverslagen.</w:t>
      </w:r>
    </w:p>
    <w:p>
      <w:pPr>
        <w:numPr>
          <w:ilvl w:val="0"/>
          <w:numId w:val="7"/>
        </w:numPr>
        <w:spacing w:lineRule="auto"/>
      </w:pPr>
      <w:r>
        <w:rPr/>
        <w:t xml:space="preserve">W-04 Emissiearm materieel en CO2-reductie</w:t>
      </w:r>
    </w:p>
    <w:p>
      <w:pPr>
        <w:numPr>
          <w:ilvl w:val="1"/>
          <w:numId w:val="11"/>
        </w:numPr>
        <w:spacing w:lineRule="auto"/>
      </w:pPr>
      <w:r>
        <w:rPr/>
        <w:t xml:space="preserve">KPI: tCO2e per draaiuur/ton asfalt; % draaiuren elektrisch/HVO; NOx-reductie t.o.v. baseline.</w:t>
      </w:r>
    </w:p>
    <w:p>
      <w:pPr>
        <w:numPr>
          <w:ilvl w:val="1"/>
          <w:numId w:val="11"/>
        </w:numPr>
        <w:spacing w:lineRule="auto"/>
      </w:pPr>
      <w:r>
        <w:rPr/>
        <w:t xml:space="preserve">Risico: Beschikbaarheid emissiearm materieel en laadinfrastructuur.</w:t>
      </w:r>
    </w:p>
    <w:p>
      <w:pPr>
        <w:numPr>
          <w:ilvl w:val="1"/>
          <w:numId w:val="11"/>
        </w:numPr>
        <w:spacing w:lineRule="auto"/>
      </w:pPr>
      <w:r>
        <w:rPr/>
        <w:t xml:space="preserve">Bewijs: Brandstof-/energieregistraties, PSL-4 emissieboekhouding.</w:t>
      </w:r>
    </w:p>
    <w:p>
      <w:pPr>
        <w:numPr>
          <w:ilvl w:val="0"/>
          <w:numId w:val="7"/>
        </w:numPr>
        <w:spacing w:lineRule="auto"/>
      </w:pPr>
      <w:r>
        <w:rPr/>
        <w:t xml:space="preserve">W-05 Digitale weekrapportages via GIS</w:t>
      </w:r>
    </w:p>
    <w:p>
      <w:pPr>
        <w:numPr>
          <w:ilvl w:val="1"/>
          <w:numId w:val="12"/>
        </w:numPr>
        <w:spacing w:lineRule="auto"/>
      </w:pPr>
      <w:r>
        <w:rPr/>
        <w:t xml:space="preserve">KPI: % dossiers volledig en tijdig in GIS; foutscore datakwaliteit.</w:t>
      </w:r>
    </w:p>
    <w:p>
      <w:pPr>
        <w:numPr>
          <w:ilvl w:val="1"/>
          <w:numId w:val="12"/>
        </w:numPr>
        <w:spacing w:lineRule="auto"/>
      </w:pPr>
      <w:r>
        <w:rPr/>
        <w:t xml:space="preserve">Risico: Datakwaliteit en systeemkoppelingen.</w:t>
      </w:r>
    </w:p>
    <w:p>
      <w:pPr>
        <w:numPr>
          <w:ilvl w:val="1"/>
          <w:numId w:val="12"/>
        </w:numPr>
        <w:spacing w:lineRule="auto"/>
      </w:pPr>
      <w:r>
        <w:rPr/>
        <w:t xml:space="preserve">Bewijs: GIS-exportlogs, metadata, screenshots van lagen/velden.</w:t>
      </w:r>
    </w:p>
    <w:p>
      <w:pPr>
        <w:numPr>
          <w:ilvl w:val="0"/>
          <w:numId w:val="7"/>
        </w:numPr>
        <w:spacing w:lineRule="auto"/>
      </w:pPr>
      <w:r>
        <w:rPr/>
        <w:t xml:space="preserve">W-06 Kwaliteit herstel asfalt/klinkers</w:t>
      </w:r>
    </w:p>
    <w:p>
      <w:pPr>
        <w:numPr>
          <w:ilvl w:val="1"/>
          <w:numId w:val="13"/>
        </w:numPr>
        <w:spacing w:lineRule="auto"/>
      </w:pPr>
      <w:r>
        <w:rPr/>
        <w:t xml:space="preserve">KPI: % afkeur (eindkeuring), NEN 2767-conditiescore, IRI/spoorvorming.</w:t>
      </w:r>
    </w:p>
    <w:p>
      <w:pPr>
        <w:numPr>
          <w:ilvl w:val="1"/>
          <w:numId w:val="13"/>
        </w:numPr>
        <w:spacing w:lineRule="auto"/>
      </w:pPr>
      <w:r>
        <w:rPr/>
        <w:t xml:space="preserve">Risico: Onverwachte ondergrond/verkanting, weertype.</w:t>
      </w:r>
    </w:p>
    <w:p>
      <w:pPr>
        <w:numPr>
          <w:ilvl w:val="1"/>
          <w:numId w:val="13"/>
        </w:numPr>
        <w:spacing w:lineRule="auto"/>
      </w:pPr>
      <w:r>
        <w:rPr/>
        <w:t xml:space="preserve">Bewijs: Keuringsrapporten, boringen, DVO’s, foto’s voor/na.</w:t>
      </w:r>
    </w:p>
    <w:p>
      <w:pPr>
        <w:numPr>
          <w:ilvl w:val="0"/>
          <w:numId w:val="7"/>
        </w:numPr>
        <w:spacing w:lineRule="auto"/>
      </w:pPr>
      <w:r>
        <w:rPr/>
        <w:t xml:space="preserve">W-07 Circulariteit/hergebruik</w:t>
      </w:r>
    </w:p>
    <w:p>
      <w:pPr>
        <w:numPr>
          <w:ilvl w:val="1"/>
          <w:numId w:val="14"/>
        </w:numPr>
        <w:spacing w:lineRule="auto"/>
      </w:pPr>
      <w:r>
        <w:rPr/>
        <w:t xml:space="preserve">KPI: % RAP in dek-/tussenlaag; % hergebruik klinkers; % hoogwaardig hergebruik.</w:t>
      </w:r>
    </w:p>
    <w:p>
      <w:pPr>
        <w:numPr>
          <w:ilvl w:val="1"/>
          <w:numId w:val="14"/>
        </w:numPr>
        <w:spacing w:lineRule="auto"/>
      </w:pPr>
      <w:r>
        <w:rPr/>
        <w:t xml:space="preserve">Risico: Materiaalverontreiniging en beschikbaarheid fracties.</w:t>
      </w:r>
    </w:p>
    <w:p>
      <w:pPr>
        <w:numPr>
          <w:ilvl w:val="1"/>
          <w:numId w:val="14"/>
        </w:numPr>
        <w:spacing w:lineRule="auto"/>
      </w:pPr>
      <w:r>
        <w:rPr/>
        <w:t xml:space="preserve">Bewijs: Weegbonnen, productcertificaten, partijkeuringen.</w:t>
      </w:r>
    </w:p>
    <w:p>
      <w:pPr>
        <w:numPr>
          <w:ilvl w:val="0"/>
          <w:numId w:val="7"/>
        </w:numPr>
        <w:spacing w:lineRule="auto"/>
      </w:pPr>
      <w:r>
        <w:rPr/>
        <w:t xml:space="preserve">W-08 Veiligheid en verkeersmanagement</w:t>
      </w:r>
    </w:p>
    <w:p>
      <w:pPr>
        <w:numPr>
          <w:ilvl w:val="1"/>
          <w:numId w:val="15"/>
        </w:numPr>
        <w:spacing w:lineRule="auto"/>
      </w:pPr>
      <w:r>
        <w:rPr/>
        <w:t xml:space="preserve">KPI: LTIF, # V&amp;G-afwijkingen, % vakbekwaam ingerichte werkvakken.</w:t>
      </w:r>
    </w:p>
    <w:p>
      <w:pPr>
        <w:numPr>
          <w:ilvl w:val="1"/>
          <w:numId w:val="15"/>
        </w:numPr>
        <w:spacing w:lineRule="auto"/>
      </w:pPr>
      <w:r>
        <w:rPr/>
        <w:t xml:space="preserve">Risico: Werkzone-incidenten, ongevallen met derden.</w:t>
      </w:r>
    </w:p>
    <w:p>
      <w:pPr>
        <w:numPr>
          <w:ilvl w:val="1"/>
          <w:numId w:val="15"/>
        </w:numPr>
        <w:spacing w:lineRule="auto"/>
      </w:pPr>
      <w:r>
        <w:rPr/>
        <w:t xml:space="preserve">Bewijs: VCA**-audits, TRA/LMRA-registraties, verkeersplannen en audits.</w:t>
      </w:r>
    </w:p>
    <w:p>
      <w:pPr>
        <w:spacing w:lineRule="auto"/>
      </w:pPr>
      <w:r>
        <w:rPr/>
        <w:t xml:space="preserve">Uniforme opmaak mini-tabel per referentie (toelichting)</w:t>
      </w:r>
    </w:p>
    <w:p>
      <w:pPr>
        <w:numPr>
          <w:ilvl w:val="0"/>
          <w:numId w:val="16"/>
        </w:numPr>
        <w:spacing w:lineRule="auto"/>
      </w:pPr>
      <w:r>
        <w:rPr/>
        <w:t xml:space="preserve">Wij hanteren per project één compacte tabel met: kerngegevens (opdrachtgever, periode, scope, contractvorm, omvang), KPI-resultaten (minimaal 5), risico’s en mitigerende maatregelen, bewijsmiddelen (bestandslijst met versiedatum), en contactpersoon (naam, functie, e-mail, telefoon) met toestemmingsverklaring. Hiermee wordt de herleidbaarheid geborgd en de vergelijkbaarheid verhoogd.</w:t>
      </w:r>
    </w:p>
    <w:p>
      <w:pPr>
        <w:spacing w:lineRule="auto"/>
      </w:pPr>
      <w:r>
        <w:rPr/>
        <w:t xml:space="preserve">KPI-bibliotheek voor referenties (indicatief, NIET project-specifiek)</w:t>
      </w:r>
    </w:p>
    <w:p>
      <w:pPr>
        <w:numPr>
          <w:ilvl w:val="0"/>
          <w:numId w:val="17"/>
        </w:numPr>
        <w:spacing w:lineRule="auto"/>
      </w:pPr>
      <w:r>
        <w:rPr/>
        <w:t xml:space="preserve">Responstijd storingen: doel ≤120 min; rapportage P50/P95.</w:t>
      </w:r>
    </w:p>
    <w:p>
      <w:pPr>
        <w:numPr>
          <w:ilvl w:val="0"/>
          <w:numId w:val="17"/>
        </w:numPr>
        <w:spacing w:lineRule="auto"/>
      </w:pPr>
      <w:r>
        <w:rPr/>
        <w:t xml:space="preserve">Oplevering binnen planning: doel ≥95%.</w:t>
      </w:r>
    </w:p>
    <w:p>
      <w:pPr>
        <w:numPr>
          <w:ilvl w:val="0"/>
          <w:numId w:val="17"/>
        </w:numPr>
        <w:spacing w:lineRule="auto"/>
      </w:pPr>
      <w:r>
        <w:rPr/>
        <w:t xml:space="preserve">Klanttevredenheid: doel ≥8,0.</w:t>
      </w:r>
    </w:p>
    <w:p>
      <w:pPr>
        <w:numPr>
          <w:ilvl w:val="0"/>
          <w:numId w:val="17"/>
        </w:numPr>
        <w:spacing w:lineRule="auto"/>
      </w:pPr>
      <w:r>
        <w:rPr/>
        <w:t xml:space="preserve">Emissie/Klimaat: tCO2e/ton asfalt; % elektrisch/HVO; NOx-reductie.</w:t>
      </w:r>
    </w:p>
    <w:p>
      <w:pPr>
        <w:numPr>
          <w:ilvl w:val="0"/>
          <w:numId w:val="17"/>
        </w:numPr>
        <w:spacing w:lineRule="auto"/>
      </w:pPr>
      <w:r>
        <w:rPr/>
        <w:t xml:space="preserve">Circulariteit: % RAP; % hergebruik klinkers; % secundaire grondstoffen.</w:t>
      </w:r>
    </w:p>
    <w:p>
      <w:pPr>
        <w:numPr>
          <w:ilvl w:val="0"/>
          <w:numId w:val="17"/>
        </w:numPr>
        <w:spacing w:lineRule="auto"/>
      </w:pPr>
      <w:r>
        <w:rPr/>
        <w:t xml:space="preserve">Kwaliteit: % afkeur eindkeuring; NEN 2767; IRI/spoorvorming.</w:t>
      </w:r>
    </w:p>
    <w:p>
      <w:pPr>
        <w:numPr>
          <w:ilvl w:val="0"/>
          <w:numId w:val="17"/>
        </w:numPr>
        <w:spacing w:lineRule="auto"/>
      </w:pPr>
      <w:r>
        <w:rPr/>
        <w:t xml:space="preserve">Veiligheid: LTIF; # meldingen verkeersveiligheid; 0 zware ongevallen.</w:t>
      </w:r>
    </w:p>
    <w:p>
      <w:pPr>
        <w:numPr>
          <w:ilvl w:val="0"/>
          <w:numId w:val="17"/>
        </w:numPr>
        <w:spacing w:lineRule="auto"/>
      </w:pPr>
      <w:r>
        <w:rPr/>
        <w:t xml:space="preserve">Datakwaliteit: % GIS-dossiers compleet; % weekrapportages op tijd.</w:t>
      </w:r>
    </w:p>
    <w:p>
      <w:pPr>
        <w:spacing w:lineRule="auto"/>
      </w:pPr>
      <w:r>
        <w:rPr/>
        <w:t xml:space="preserve">Bewijsbronnen die wij standaard kunnen aanleveren</w:t>
      </w:r>
    </w:p>
    <w:p>
      <w:pPr>
        <w:numPr>
          <w:ilvl w:val="0"/>
          <w:numId w:val="18"/>
        </w:numPr>
        <w:spacing w:lineRule="auto"/>
      </w:pPr>
      <w:r>
        <w:rPr/>
        <w:t xml:space="preserve">ISO 9001/14001 certificaten (actuele geldigheid), VCA** en CO2-Prestatieladder niveau 4.</w:t>
      </w:r>
    </w:p>
    <w:p>
      <w:pPr>
        <w:numPr>
          <w:ilvl w:val="0"/>
          <w:numId w:val="18"/>
        </w:numPr>
        <w:spacing w:lineRule="auto"/>
      </w:pPr>
      <w:r>
        <w:rPr/>
        <w:t xml:space="preserve">Dispatch-/storingslogs uit meldsysteem; GPS-/telematica-uitdraaien.</w:t>
      </w:r>
    </w:p>
    <w:p>
      <w:pPr>
        <w:numPr>
          <w:ilvl w:val="0"/>
          <w:numId w:val="18"/>
        </w:numPr>
        <w:spacing w:lineRule="auto"/>
      </w:pPr>
      <w:r>
        <w:rPr/>
        <w:t xml:space="preserve">Weegbonnen, verwerkingsverklaringen, partijkeuringen (RAP/klinkers).</w:t>
      </w:r>
    </w:p>
    <w:p>
      <w:pPr>
        <w:numPr>
          <w:ilvl w:val="0"/>
          <w:numId w:val="18"/>
        </w:numPr>
        <w:spacing w:lineRule="auto"/>
      </w:pPr>
      <w:r>
        <w:rPr/>
        <w:t xml:space="preserve">Keurings- en meetrapporten (NEN 2767, IRI), foto’s en DVO’s.</w:t>
      </w:r>
    </w:p>
    <w:p>
      <w:pPr>
        <w:numPr>
          <w:ilvl w:val="0"/>
          <w:numId w:val="18"/>
        </w:numPr>
        <w:spacing w:lineRule="auto"/>
      </w:pPr>
      <w:r>
        <w:rPr/>
        <w:t xml:space="preserve">GIS-portaalexports met metadata en datadekking.</w:t>
      </w:r>
    </w:p>
    <w:p>
      <w:pPr>
        <w:numPr>
          <w:ilvl w:val="0"/>
          <w:numId w:val="18"/>
        </w:numPr>
        <w:spacing w:lineRule="auto"/>
      </w:pPr>
      <w:r>
        <w:rPr/>
        <w:t xml:space="preserve">Enquête-rapportages klanttevredenheid; klachten- en incidentenlog.</w:t>
      </w:r>
    </w:p>
    <w:p>
      <w:pPr>
        <w:numPr>
          <w:ilvl w:val="0"/>
          <w:numId w:val="18"/>
        </w:numPr>
        <w:spacing w:lineRule="auto"/>
      </w:pPr>
      <w:r>
        <w:rPr/>
        <w:t xml:space="preserve">Veiligheidsaudits, TRA/LMRA-registraties, verkeersmaatregelen-audits.</w:t>
      </w:r>
    </w:p>
    <w:p>
      <w:pPr>
        <w:spacing w:lineRule="auto"/>
      </w:pPr>
      <w:r>
        <w:rPr/>
        <w:t xml:space="preserve">Planning oplevering referenties (vóór indiening 01-12-2025)</w:t>
      </w:r>
    </w:p>
    <w:p>
      <w:pPr>
        <w:numPr>
          <w:ilvl w:val="0"/>
          <w:numId w:val="19"/>
        </w:numPr>
        <w:spacing w:lineRule="auto"/>
      </w:pPr>
      <w:r>
        <w:rPr/>
        <w:t xml:space="preserve">Week 1: selectie 5 projecten, contacttoestemmingen, KPI-set per project.</w:t>
      </w:r>
    </w:p>
    <w:p>
      <w:pPr>
        <w:numPr>
          <w:ilvl w:val="0"/>
          <w:numId w:val="19"/>
        </w:numPr>
        <w:spacing w:lineRule="auto"/>
      </w:pPr>
      <w:r>
        <w:rPr/>
        <w:t xml:space="preserve">Week 2: dataverzameling en bewijsstukken; QA-steekproef; juristische check AVG.</w:t>
      </w:r>
    </w:p>
    <w:p>
      <w:pPr>
        <w:numPr>
          <w:ilvl w:val="0"/>
          <w:numId w:val="19"/>
        </w:numPr>
        <w:spacing w:lineRule="auto"/>
      </w:pPr>
      <w:r>
        <w:rPr/>
        <w:t xml:space="preserve">Week 3: finaliseren 3–5 mini-tabellen, interne audit en vrijgave.</w:t>
      </w:r>
    </w:p>
    <w:p>
      <w:pPr>
        <w:spacing w:lineRule="auto"/>
      </w:pPr>
      <w:r>
        <w:rPr/>
        <w:t xml:space="preserve">Toelichting bij EMVI-criteria</w:t>
      </w:r>
    </w:p>
    <w:p>
      <w:pPr>
        <w:numPr>
          <w:ilvl w:val="0"/>
          <w:numId w:val="20"/>
        </w:numPr>
        <w:spacing w:lineRule="auto"/>
      </w:pPr>
      <w:r>
        <w:rPr/>
        <w:t xml:space="preserve">Kwaliteit: tonen van lage afkeur, hoge NEN 2767-waardes, hoge tijdigheid en datakwaliteit.</w:t>
      </w:r>
    </w:p>
    <w:p>
      <w:pPr>
        <w:numPr>
          <w:ilvl w:val="0"/>
          <w:numId w:val="20"/>
        </w:numPr>
        <w:spacing w:lineRule="auto"/>
      </w:pPr>
      <w:r>
        <w:rPr/>
        <w:t xml:space="preserve">Duurzaamheid: aantoonbare emissiereductie, hoog % hergebruik, inzet zero-emissie materieel.</w:t>
      </w:r>
    </w:p>
    <w:p>
      <w:pPr>
        <w:numPr>
          <w:ilvl w:val="0"/>
          <w:numId w:val="20"/>
        </w:numPr>
        <w:spacing w:lineRule="auto"/>
      </w:pPr>
      <w:r>
        <w:rPr/>
        <w:t xml:space="preserve">Risicobeheersing: onderbouwde maatregelen bij piekbelasting (winterdienst), verkeersveiligheid, leveringsketen.</w:t>
      </w:r>
    </w:p>
    <w:p>
      <w:pPr>
        <w:numPr>
          <w:ilvl w:val="0"/>
          <w:numId w:val="20"/>
        </w:numPr>
        <w:spacing w:lineRule="auto"/>
      </w:pPr>
      <w:r>
        <w:rPr/>
        <w:t xml:space="preserve">Prijs: referenties geven context; prijsopbouw volgt separaat.</w:t>
      </w:r>
    </w:p>
    <w:p>
      <w:pPr>
        <w:spacing w:lineRule="auto"/>
      </w:pPr>
      <w:r>
        <w:rPr/>
        <w:t xml:space="preserve">Let op Op dit moment zijn nog geen projectreferenties opgenomen, omdat er (bewust) geen niet-geverifieerde gegevens of fictieve contactpersonen worden gebruikt. Na aanlevering van de onderstaande gegevens vullen wij per project een uniforme mini-tabel met KPI’s, risico’s en bewijs.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1"/>
        </w:numPr>
        <w:spacing w:lineRule="auto"/>
      </w:pPr>
      <w:r>
        <w:rPr/>
        <w:t xml:space="preserve">Voor 3–5 projecten (elk):</w:t>
      </w:r>
    </w:p>
    <w:p>
      <w:pPr>
        <w:numPr>
          <w:ilvl w:val="1"/>
          <w:numId w:val="22"/>
        </w:numPr>
        <w:spacing w:lineRule="auto"/>
      </w:pPr>
      <w:r>
        <w:rPr/>
        <w:t xml:space="preserve">Projectnaam en korte omschrijving van de scope (asfalt/klinkers, inspectie, herstel, markering, winterdienst, GIS-oplevering).</w:t>
      </w:r>
    </w:p>
    <w:p>
      <w:pPr>
        <w:numPr>
          <w:ilvl w:val="1"/>
          <w:numId w:val="22"/>
        </w:numPr>
        <w:spacing w:lineRule="auto"/>
      </w:pPr>
      <w:r>
        <w:rPr/>
        <w:t xml:space="preserve">Opdrachtgever (organisatie), locatie, uitvoeringsperiode (mm/jjjj–mm/jjjj), contractvorm (RAW/raamovereenkomst/EMVI), orde van grootte (€-bandbreedte).</w:t>
      </w:r>
    </w:p>
    <w:p>
      <w:pPr>
        <w:numPr>
          <w:ilvl w:val="1"/>
          <w:numId w:val="22"/>
        </w:numPr>
        <w:spacing w:lineRule="auto"/>
      </w:pPr>
      <w:r>
        <w:rPr/>
        <w:t xml:space="preserve">Contactpersoon opdrachtgever: naam, functie, e-mailadres, telefoonnummer + expliciete toestemming om als referent te worden benaderd (AVG-proof).</w:t>
      </w:r>
    </w:p>
    <w:p>
      <w:pPr>
        <w:numPr>
          <w:ilvl w:val="1"/>
          <w:numId w:val="22"/>
        </w:numPr>
        <w:spacing w:lineRule="auto"/>
      </w:pPr>
      <w:r>
        <w:rPr/>
        <w:t xml:space="preserve">KPI-resultaten met periode en eenheid:</w:t>
      </w:r>
    </w:p>
    <w:p>
      <w:pPr>
        <w:numPr>
          <w:ilvl w:val="2"/>
          <w:numId w:val="23"/>
        </w:numPr>
        <w:spacing w:lineRule="auto"/>
      </w:pPr>
      <w:r>
        <w:rPr/>
        <w:t xml:space="preserve">Responstijd storingen (gemiddeld, P95) vs. SLA ≤2u.</w:t>
      </w:r>
    </w:p>
    <w:p>
      <w:pPr>
        <w:numPr>
          <w:ilvl w:val="2"/>
          <w:numId w:val="23"/>
        </w:numPr>
        <w:spacing w:lineRule="auto"/>
      </w:pPr>
      <w:r>
        <w:rPr/>
        <w:t xml:space="preserve">% opleveringen binnen planning (doel ≥95%).</w:t>
      </w:r>
    </w:p>
    <w:p>
      <w:pPr>
        <w:numPr>
          <w:ilvl w:val="2"/>
          <w:numId w:val="23"/>
        </w:numPr>
        <w:spacing w:lineRule="auto"/>
      </w:pPr>
      <w:r>
        <w:rPr/>
        <w:t xml:space="preserve">Klanttevredenheidsscore (doel ≥8,0), responsrate.</w:t>
      </w:r>
    </w:p>
    <w:p>
      <w:pPr>
        <w:numPr>
          <w:ilvl w:val="2"/>
          <w:numId w:val="23"/>
        </w:numPr>
        <w:spacing w:lineRule="auto"/>
      </w:pPr>
      <w:r>
        <w:rPr/>
        <w:t xml:space="preserve">Emissie/kilmaat: tCO2e per ton asfalt of per draaiuur; % elektrisch/HVO; NOx-reductie.</w:t>
      </w:r>
    </w:p>
    <w:p>
      <w:pPr>
        <w:numPr>
          <w:ilvl w:val="2"/>
          <w:numId w:val="23"/>
        </w:numPr>
        <w:spacing w:lineRule="auto"/>
      </w:pPr>
      <w:r>
        <w:rPr/>
        <w:t xml:space="preserve">Circulariteit: % RAP, % hergebruik klinkers/grondstoffen.</w:t>
      </w:r>
    </w:p>
    <w:p>
      <w:pPr>
        <w:numPr>
          <w:ilvl w:val="2"/>
          <w:numId w:val="23"/>
        </w:numPr>
        <w:spacing w:lineRule="auto"/>
      </w:pPr>
      <w:r>
        <w:rPr/>
        <w:t xml:space="preserve">Kwaliteit: % afkeur, NEN 2767-score, IRI/spoorvorming.</w:t>
      </w:r>
    </w:p>
    <w:p>
      <w:pPr>
        <w:numPr>
          <w:ilvl w:val="2"/>
          <w:numId w:val="23"/>
        </w:numPr>
        <w:spacing w:lineRule="auto"/>
      </w:pPr>
      <w:r>
        <w:rPr/>
        <w:t xml:space="preserve">Veiligheid: LTIF, # V&amp;G-afwijkingen, 0 zware ongevallen.</w:t>
      </w:r>
    </w:p>
    <w:p>
      <w:pPr>
        <w:numPr>
          <w:ilvl w:val="2"/>
          <w:numId w:val="23"/>
        </w:numPr>
        <w:spacing w:lineRule="auto"/>
      </w:pPr>
      <w:r>
        <w:rPr/>
        <w:t xml:space="preserve">Datakwaliteit: % weekrapportages tijdig; % GIS-dossiers compleet.</w:t>
      </w:r>
    </w:p>
    <w:p>
      <w:pPr>
        <w:numPr>
          <w:ilvl w:val="1"/>
          <w:numId w:val="22"/>
        </w:numPr>
        <w:spacing w:lineRule="auto"/>
      </w:pPr>
      <w:r>
        <w:rPr/>
        <w:t xml:space="preserve">Risico’s en getroffen maatregelen (bijv. winterpiek, verkeersveiligheid, materiaalbeschikbaarheid, datakwaliteit).</w:t>
      </w:r>
    </w:p>
    <w:p>
      <w:pPr>
        <w:numPr>
          <w:ilvl w:val="1"/>
          <w:numId w:val="22"/>
        </w:numPr>
        <w:spacing w:lineRule="auto"/>
      </w:pPr>
      <w:r>
        <w:rPr/>
        <w:t xml:space="preserve">Bewijsstukken: bestandsnamen + datum/bron (dispatchlog, GPS-exports, weegbonnen, keuringsrapporten, GIS-snapshots, enquêtrapporten, VCA-/KAM-audits).</w:t>
      </w:r>
    </w:p>
    <w:p>
      <w:pPr>
        <w:numPr>
          <w:ilvl w:val="0"/>
          <w:numId w:val="21"/>
        </w:numPr>
        <w:spacing w:lineRule="auto"/>
      </w:pPr>
      <w:r>
        <w:rPr/>
        <w:t xml:space="preserve">Interne contact bij InfraTech voor verificatie en datadeling (naam + e-mail).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