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Risico’s – InfraTech Solutions B.V. | Project: Onderhoud en verduurzaming gemeentelijke wegen 2025–2029 (Utrecht)</w:t>
      </w:r>
    </w:p>
    <w:p>
      <w:pPr>
        <w:spacing w:lineRule="auto"/>
      </w:pPr>
      <w:r>
        <w:rPr/>
        <w:t xml:space="preserve">Aanpak en scoringsmethodiek</w:t>
      </w:r>
    </w:p>
    <w:p>
      <w:pPr>
        <w:numPr>
          <w:ilvl w:val="0"/>
          <w:numId w:val="1"/>
        </w:numPr>
        <w:spacing w:lineRule="auto"/>
      </w:pPr>
      <w:r>
        <w:rPr/>
        <w:t xml:space="preserve">Doel: proactief beheersen van project- en compliance-risico’s zodat SLA’s en EMVI-doelen aantoonbaar worden behaald.</w:t>
      </w:r>
    </w:p>
    <w:p>
      <w:pPr>
        <w:numPr>
          <w:ilvl w:val="0"/>
          <w:numId w:val="1"/>
        </w:numPr>
        <w:spacing w:lineRule="auto"/>
      </w:pPr>
      <w:r>
        <w:rPr/>
        <w:t xml:space="preserve">Scoring: Kans (1=zeer laag … 5=zeer hoog), Impact (1=verwaarloosbaar … 5=kritiek). Score = Kans x Impact. Herziening per 4 weken (PDC-cyclus).</w:t>
      </w:r>
    </w:p>
    <w:p>
      <w:pPr>
        <w:numPr>
          <w:ilvl w:val="0"/>
          <w:numId w:val="1"/>
        </w:numPr>
        <w:spacing w:lineRule="auto"/>
      </w:pPr>
      <w:r>
        <w:rPr/>
        <w:t xml:space="preserve">PDCA-toepassing: elke beheersmaatregel bevat Plan-Do-Check-Act, inclusief meetpunten en bewijsmiddelen.</w:t>
      </w:r>
    </w:p>
    <w:p>
      <w:pPr>
        <w:spacing w:lineRule="auto"/>
      </w:pPr>
      <w:r>
        <w:rPr/>
        <w:t xml:space="preserve">KPI-set (met code)</w:t>
      </w:r>
    </w:p>
    <w:p>
      <w:pPr>
        <w:numPr>
          <w:ilvl w:val="0"/>
          <w:numId w:val="2"/>
        </w:numPr>
        <w:spacing w:lineRule="auto"/>
      </w:pPr>
      <w:r>
        <w:rPr/>
        <w:t xml:space="preserve">KPI-KT: Klanttevredenheid ≥ 8,0 (SLA).</w:t>
      </w:r>
    </w:p>
    <w:p>
      <w:pPr>
        <w:numPr>
          <w:ilvl w:val="0"/>
          <w:numId w:val="2"/>
        </w:numPr>
        <w:spacing w:lineRule="auto"/>
      </w:pPr>
      <w:r>
        <w:rPr/>
        <w:t xml:space="preserve">KPI-RS: Responstijd storingen ≤ 2 uur (SLA).</w:t>
      </w:r>
    </w:p>
    <w:p>
      <w:pPr>
        <w:numPr>
          <w:ilvl w:val="0"/>
          <w:numId w:val="2"/>
        </w:numPr>
        <w:spacing w:lineRule="auto"/>
      </w:pPr>
      <w:r>
        <w:rPr/>
        <w:t xml:space="preserve">KPI-OPL: Opleveringen binnen planning ≥ 95% (SLA).</w:t>
      </w:r>
    </w:p>
    <w:p>
      <w:pPr>
        <w:numPr>
          <w:ilvl w:val="0"/>
          <w:numId w:val="2"/>
        </w:numPr>
        <w:spacing w:lineRule="auto"/>
      </w:pPr>
      <w:r>
        <w:rPr/>
        <w:t xml:space="preserve">KPI-EM: ≥ 90% machine-uren met Stage V/elektrisch materieel.</w:t>
      </w:r>
    </w:p>
    <w:p>
      <w:pPr>
        <w:numPr>
          <w:ilvl w:val="0"/>
          <w:numId w:val="2"/>
        </w:numPr>
        <w:spacing w:lineRule="auto"/>
      </w:pPr>
      <w:r>
        <w:rPr/>
        <w:t xml:space="preserve">KPI-CO2: ≥ 20% CO2-reductie (kg CO2e/uur operationeel) t.o.v. 2023-fleetgemiddelde.</w:t>
      </w:r>
    </w:p>
    <w:p>
      <w:pPr>
        <w:numPr>
          <w:ilvl w:val="0"/>
          <w:numId w:val="2"/>
        </w:numPr>
        <w:spacing w:lineRule="auto"/>
      </w:pPr>
      <w:r>
        <w:rPr/>
        <w:t xml:space="preserve">KPI-GIS: 100% weekrapportages via GIS, 98% datavelden compleet/correct.</w:t>
      </w:r>
    </w:p>
    <w:p>
      <w:pPr>
        <w:numPr>
          <w:ilvl w:val="0"/>
          <w:numId w:val="2"/>
        </w:numPr>
        <w:spacing w:lineRule="auto"/>
      </w:pPr>
      <w:r>
        <w:rPr/>
        <w:t xml:space="preserve">KPI-VV: 0 LTI, ≤ 2 near-misses/maand, 100% meldingsgraad.</w:t>
      </w:r>
    </w:p>
    <w:p>
      <w:pPr>
        <w:numPr>
          <w:ilvl w:val="0"/>
          <w:numId w:val="2"/>
        </w:numPr>
        <w:spacing w:lineRule="auto"/>
      </w:pPr>
      <w:r>
        <w:rPr/>
        <w:t xml:space="preserve">KPI-CL: ≥ 60% asfaltgranulaat (gem.) en ≥ 95% hergebruik klinkers.</w:t>
      </w:r>
    </w:p>
    <w:p>
      <w:pPr>
        <w:numPr>
          <w:ilvl w:val="0"/>
          <w:numId w:val="2"/>
        </w:numPr>
        <w:spacing w:lineRule="auto"/>
      </w:pPr>
      <w:r>
        <w:rPr/>
        <w:t xml:space="preserve">KPI-QC: &lt; 3% afkeur bij keuringen/controles.</w:t>
      </w:r>
    </w:p>
    <w:p>
      <w:pPr>
        <w:numPr>
          <w:ilvl w:val="0"/>
          <w:numId w:val="2"/>
        </w:numPr>
        <w:spacing w:lineRule="auto"/>
      </w:pPr>
      <w:r>
        <w:rPr/>
        <w:t xml:space="preserve">KPI-FK: Faalkosten ≤ 2% van omzet per jaar.</w:t>
      </w:r>
    </w:p>
    <w:p>
      <w:pPr>
        <w:spacing w:lineRule="auto"/>
      </w:pPr>
      <w:r>
        <w:rPr/>
        <w:t xml:space="preserve">Werkpakketten (W-xx)</w:t>
      </w:r>
    </w:p>
    <w:p>
      <w:pPr>
        <w:numPr>
          <w:ilvl w:val="0"/>
          <w:numId w:val="3"/>
        </w:numPr>
        <w:spacing w:lineRule="auto"/>
      </w:pPr>
      <w:r>
        <w:rPr/>
        <w:t xml:space="preserve">W-01 Inspecties en conditiemetingen</w:t>
      </w:r>
    </w:p>
    <w:p>
      <w:pPr>
        <w:numPr>
          <w:ilvl w:val="0"/>
          <w:numId w:val="3"/>
        </w:numPr>
        <w:spacing w:lineRule="auto"/>
      </w:pPr>
      <w:r>
        <w:rPr/>
        <w:t xml:space="preserve">W-02 Preventief onderhoud asfalt</w:t>
      </w:r>
    </w:p>
    <w:p>
      <w:pPr>
        <w:numPr>
          <w:ilvl w:val="0"/>
          <w:numId w:val="3"/>
        </w:numPr>
        <w:spacing w:lineRule="auto"/>
      </w:pPr>
      <w:r>
        <w:rPr/>
        <w:t xml:space="preserve">W-03 Correctief onderhoud asfalt (gaten/scheuren)</w:t>
      </w:r>
    </w:p>
    <w:p>
      <w:pPr>
        <w:numPr>
          <w:ilvl w:val="0"/>
          <w:numId w:val="3"/>
        </w:numPr>
        <w:spacing w:lineRule="auto"/>
      </w:pPr>
      <w:r>
        <w:rPr/>
        <w:t xml:space="preserve">W-04 Herprofilering en vlakheid</w:t>
      </w:r>
    </w:p>
    <w:p>
      <w:pPr>
        <w:numPr>
          <w:ilvl w:val="0"/>
          <w:numId w:val="3"/>
        </w:numPr>
        <w:spacing w:lineRule="auto"/>
      </w:pPr>
      <w:r>
        <w:rPr/>
        <w:t xml:space="preserve">W-05 Voegvulling en scheurafdichting</w:t>
      </w:r>
    </w:p>
    <w:p>
      <w:pPr>
        <w:numPr>
          <w:ilvl w:val="0"/>
          <w:numId w:val="3"/>
        </w:numPr>
        <w:spacing w:lineRule="auto"/>
      </w:pPr>
      <w:r>
        <w:rPr/>
        <w:t xml:space="preserve">W-06 Markeringen aanbrengen/vernieuwen</w:t>
      </w:r>
    </w:p>
    <w:p>
      <w:pPr>
        <w:numPr>
          <w:ilvl w:val="0"/>
          <w:numId w:val="3"/>
        </w:numPr>
        <w:spacing w:lineRule="auto"/>
      </w:pPr>
      <w:r>
        <w:rPr/>
        <w:t xml:space="preserve">W-07 Winterdienst en dooizoutlogistiek</w:t>
      </w:r>
    </w:p>
    <w:p>
      <w:pPr>
        <w:numPr>
          <w:ilvl w:val="0"/>
          <w:numId w:val="3"/>
        </w:numPr>
        <w:spacing w:lineRule="auto"/>
      </w:pPr>
      <w:r>
        <w:rPr/>
        <w:t xml:space="preserve">W-08 Verkeersmaatregelen en V&amp;G (BLVC)</w:t>
      </w:r>
    </w:p>
    <w:p>
      <w:pPr>
        <w:numPr>
          <w:ilvl w:val="0"/>
          <w:numId w:val="3"/>
        </w:numPr>
        <w:spacing w:lineRule="auto"/>
      </w:pPr>
      <w:r>
        <w:rPr/>
        <w:t xml:space="preserve">W-09 Digitale weekrapportage en GIS-oplevering</w:t>
      </w:r>
    </w:p>
    <w:p>
      <w:pPr>
        <w:numPr>
          <w:ilvl w:val="0"/>
          <w:numId w:val="3"/>
        </w:numPr>
        <w:spacing w:lineRule="auto"/>
      </w:pPr>
      <w:r>
        <w:rPr/>
        <w:t xml:space="preserve">W-10 Emissiearm materieel inzet en logistiek</w:t>
      </w:r>
    </w:p>
    <w:p>
      <w:pPr>
        <w:numPr>
          <w:ilvl w:val="0"/>
          <w:numId w:val="3"/>
        </w:numPr>
        <w:spacing w:lineRule="auto"/>
      </w:pPr>
      <w:r>
        <w:rPr/>
        <w:t xml:space="preserve">W-11 CO₂-reductie en brandstofbeheer</w:t>
      </w:r>
    </w:p>
    <w:p>
      <w:pPr>
        <w:numPr>
          <w:ilvl w:val="0"/>
          <w:numId w:val="3"/>
        </w:numPr>
        <w:spacing w:lineRule="auto"/>
      </w:pPr>
      <w:r>
        <w:rPr/>
        <w:t xml:space="preserve">W-12 Kwaliteitsborging en keuringen</w:t>
      </w:r>
    </w:p>
    <w:p>
      <w:pPr>
        <w:numPr>
          <w:ilvl w:val="0"/>
          <w:numId w:val="3"/>
        </w:numPr>
        <w:spacing w:lineRule="auto"/>
      </w:pPr>
      <w:r>
        <w:rPr/>
        <w:t xml:space="preserve">W-13 Stakeholdercommunicatie (omwonenden/ondernemers)</w:t>
      </w:r>
    </w:p>
    <w:p>
      <w:pPr>
        <w:numPr>
          <w:ilvl w:val="0"/>
          <w:numId w:val="3"/>
        </w:numPr>
        <w:spacing w:lineRule="auto"/>
      </w:pPr>
      <w:r>
        <w:rPr/>
        <w:t xml:space="preserve">W-14 24/7 storingsdienst</w:t>
      </w:r>
    </w:p>
    <w:p>
      <w:pPr>
        <w:spacing w:lineRule="auto"/>
      </w:pPr>
      <w:r>
        <w:rPr/>
        <w:t xml:space="preserve">Risicoregister (PDCA, SMART, kruisverbanden)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 (SMART + PDCA)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KPI/W-xx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 Risk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Responstijd storingen &gt;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24/7-rooster en escalatiematrix vastgesteld; 2 ploegen stand-by, GPS-tracking en ritprioritering (gereed D-14). D: maandelijkse responstijdtest (1 willekeurige nacht- en weekendcall/maand). C: SLA-dashboard wekelijks; norm ≤120 min, mediane responstijd-streef ≤60 min. A: bij 2 opeenvolgende misses: extra ploeg inzetten binnen 7 dagen. Bewijs: oproeplogs, GPS-logs, dashboard.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Operationeel leider storingsdienst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Ingericht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KPI-RS; W-14, W-08; Bewijs: SLA-dashboard, GPS-export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Onvolledige/te late GIS-weekrapportage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GIS-validatieregels en verplichte velden; RACI (GIS-coördinator eindverantwoordelijk). D: mobiele app met offline buffer; upload iedere maandag 12:00; 4-ogen check op 10% van records. C: datakwaliteit ≥98% en 100% tijdige uploads; wekelijkse rapportage. A: bij &lt;98% binnen 24u herstellen; maandelijkse bijscholing.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GIS-coördinator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KPI-GIS; W-09, W-01; Bewijs: exportlogs, controlechecklists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Opleveringen buiten planning (&gt;5%)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LPS/2-week lookahead, resourcebuffer 10% en nachtvensters voor kritieke fasen. D: dagstart/stop, constraint log, leveranciers-ETA in planning. C: KPI-OPL wekelijks; SPI ≥0,95. A: recovery-plan binnen 48u bij SPI &lt;0,95.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KPI-OPL; W-02–W-06, W-08; Bewijs: planning, voortgangsrapportage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Emissiearm-materieel &lt; 90% inzet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whitelist Stage V/elektrisch; contracten met verhuurders; verbod op niet-conform materieel. D: telematica-rapport per week; materieelplanner toetst inzet vs. whitelist. C: aandeel conforme uren ≥90%. A: bij &lt;90% binnen 1 week vervangend materieel; leveranciersgesprek binnen 48u.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Materieelbeheerder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KPI-EM; W-10; Bewijs: telematicalogs, materieellijst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CO2-reductie &lt; 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route-optimalisatie, idle-cutoff, HVO100/elektrisch waar beschikbaar, WMA-toepassing (asfaltproductie ≤140°C). D: brandstof- en kWh-logging per machine/week. C: kg CO2e/uur rapportage; target -20% vs 2023 baseline. A: maatregel bijsturen (meer elektrisch, optimaler transport) binnen 2 weken na afwijking.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KAM/CO₂-coördinator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KPI-CO2, KPI-EM, KPI-CL; W-10, W-11; Bewijs: PSL-niveau 4 rapport, brandstoflogs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Verkeersveiligheidsincident in werkvak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project-V&amp;G en BLVC-plan; 100% start-werk inspectie; IV-bordenplan conform CROW. D: werkvakbeveiliging geplaatst en geaudit (min. 1 audit/shift). C: 0 LTI, ≤2 near-misses/maand; registratie via VCA-systeem. A: 24u stop-and-fix bij ernstige bevinding; MTO binnen 72u.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Veiligheidskundige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KPI-VV; W-08; Bewijs: werkvak-auditrapporten, LMRA’s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Kwaliteitsafkeuringen &gt; 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ITP per werksoort; proefvakken en rollerpass-schema; laboratoriumkernen volgens RAW. D: 100% eigencontrole, 10% extra steekproef. C: afkeur &lt;3%; CBR/vlakheid/grip conform norm. A: 8D-actieplan binnen 5 werkdagen; herwerk binnen 72u.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KPI-QC, KPI-OPL; W-12, W-02–W-06; Bewijs: keuringsdossiers, labuitslagen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Winterdienst faalt (tekort zout/ploegen)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buffer 150 ton dooizout nov–mrt; 4 strooiers en 2 reserve; strooikaarten en prioriteitsroutes. D: 48u pre-salt bij code geel/ijs; realtime routevolging. C: responstijd ≤120 min, routevoltooiing ≥98%. A: extra shifts en spoedlevering binnen 24u bij verbruikspiek.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Winterdienstcoördinator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Ingericht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KPI-RS, KPI-OPL, KPI-VV; W-07; Bewijs: voorraadlog, GPS-routeverslagen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Leveringsproblemen asfalt/markering/zout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dual sourcing (asfaltcentrale A/B; markering 2 leveranciers; zout via CleanRoads NL back-up). D: veiligheidsvoorraad: asfaltgranulaat 200t equivalent, zout 150t. C: nul stilstand door materiaaltekort; OTD ≥95%. A: alternatieve mix/leverancier binnen 48u activeren.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Inkoopmanager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KPI-OPL, KPI-CL; W-02, W-06, W-07; Bewijs: contracten, leverings-SLA’s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Omgevingshinder → klanttevredenheid &lt; 8,0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BLVC met werktijden 07:00–19:00; piekgeluid &gt;70 dB(A) alleen met ontheffing; 5 werkdagen vooraf bewonersbrief; bereikbaarheid verzekerd. D: omgevingsmanager houdt spreekuur 2x/week; omleidingsborden 24u vooraf. C: KPI-KT ≥8,0; klachtenafhandeling binnen 2 werkdagen. A: planning aanpassen/extra stillere werkwijze binnen 72u bij &gt;3 klachten/week.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Omgevingsmanager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KPI-KT, KPI-OPL; W-13, W-08; Bewijs: bewonersbrieven, klachtenlog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Kabels/leidingen beschadigd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KLIC-meldingen + proefsleuven op risicolocaties; detectie voor mechanische bewerking. D: werkvergunning + LMRA verplicht; maximum graafdiepte met spotter. C: 0 schades; audits 1x/week. A: stopwerk, netbeheerder informeren binnen 1u; evaluatie en extra training binnen 72u.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Uitvoerder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KPI-VV, KPI-OPL; W-01, W-08; Bewijs: KLIC-dossiers, proefsleufregistraties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Weersinvloed op asfaltkwaliteit/planning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weerwindow-criteria (T&gt;10°C of WMA ≤140°C, droogdek); alternatieve volgorde taken. D: 48u vooraf go/no-go; tenting/verwarming indien nodig. C: nul regeninsluitingen; planningstops ≤5% weergerelateerd. A: herplannen binnen 24u; WMA inzetten bij lage temp.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Werkvoorbereider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KPI-OPL, KPI-QC; W-02–W-04; Bewijs: weerlogs, go/no-go formulieren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Faalkosten &gt; 2% door scope-wijzigingen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change control-proces; meerwerkformulier binnen 24u; kosteneffect-meting. D: dashboard faalkosten wekelijks; 3-weg matching (bestek–veld–factuur). C: KPI-FK ≤2%. A: root cause review maandelijks; standaard detailopname vooraf.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KPI-FK, KPI-OPL; W-12, W-01; Bewijs: change log, kostenrapportage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Fout/uitval gemeentelijk GIS-portaal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P: offline-capabele app + lokale datacache 14 dagen. D: upload batch binnen 24u na herstel; API-statusmonitoring. C: 0 dataverlies; 100% weekrapportages ook bij storing. A: noodkanaal e-mail/CSV naar opdrachtgever binnen 24u.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IT-lead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Ingericht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KPI-GIS; W-09; Bewijs: offline exports, storingslog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kruisverbanden en bewijslast</w:t>
      </w:r>
    </w:p>
    <w:p>
      <w:pPr>
        <w:numPr>
          <w:ilvl w:val="0"/>
          <w:numId w:val="4"/>
        </w:numPr>
        <w:spacing w:lineRule="auto"/>
      </w:pPr>
      <w:r>
        <w:rPr/>
        <w:t xml:space="preserve">W-xx → uitvoeringslocatie van de maatregel en risico-impact (bijv. W-14 voor storingsdienst, W-09 voor GIS).</w:t>
      </w:r>
    </w:p>
    <w:p>
      <w:pPr>
        <w:numPr>
          <w:ilvl w:val="0"/>
          <w:numId w:val="4"/>
        </w:numPr>
        <w:spacing w:lineRule="auto"/>
      </w:pPr>
      <w:r>
        <w:rPr/>
        <w:t xml:space="preserve">KPI’s → meetbare uitkomst die direct geraakt wordt (bijv. KPI-RS, KPI-OPL).</w:t>
      </w:r>
    </w:p>
    <w:p>
      <w:pPr>
        <w:numPr>
          <w:ilvl w:val="0"/>
          <w:numId w:val="4"/>
        </w:numPr>
        <w:spacing w:lineRule="auto"/>
      </w:pPr>
      <w:r>
        <w:rPr/>
        <w:t xml:space="preserve">Bewijs → objectieve data die aantonen dat PDCA is uitgevoerd en normen worden gehaald (GPS-logs, labuitslagen, dashboards, KLIC-dossiers, PSL-rapportages, VCA-registraties).</w:t>
      </w:r>
    </w:p>
    <w:p>
      <w:pPr>
        <w:numPr>
          <w:ilvl w:val="0"/>
          <w:numId w:val="4"/>
        </w:numPr>
        <w:spacing w:lineRule="auto"/>
      </w:pPr>
      <w:r>
        <w:rPr/>
        <w:t xml:space="preserve">Certificeringen KO-eisen: ISO 9001 en ISO 14001 zijn geborgd via ons managementsysteem; bewijs beschikbaar in auditrapporten en geldige certificaten. Dit onderbouwt de PDCA-cyclus in W-12 (kwaliteitsborging) en W-11 (milieu/CO₂).</w:t>
      </w:r>
    </w:p>
    <w:p>
      <w:pPr>
        <w:spacing w:lineRule="auto"/>
      </w:pPr>
      <w:r>
        <w:rPr/>
        <w:t xml:space="preserve">PDCA-borging en rapportagefrequentie</w:t>
      </w:r>
    </w:p>
    <w:p>
      <w:pPr>
        <w:numPr>
          <w:ilvl w:val="0"/>
          <w:numId w:val="5"/>
        </w:numPr>
        <w:spacing w:lineRule="auto"/>
      </w:pPr>
      <w:r>
        <w:rPr/>
        <w:t xml:space="preserve">Plan: maandelijkse risicosessie (eerste dinsdag), update risicoscores en maatregelen; koppeling aan 2-weekse lookahead.</w:t>
      </w:r>
    </w:p>
    <w:p>
      <w:pPr>
        <w:numPr>
          <w:ilvl w:val="0"/>
          <w:numId w:val="5"/>
        </w:numPr>
        <w:spacing w:lineRule="auto"/>
      </w:pPr>
      <w:r>
        <w:rPr/>
        <w:t xml:space="preserve">Do: uitvoering conform W-xx, met dagelijkse registraties (SLA-calls, GIS, veiligheid, kwaliteit).</w:t>
      </w:r>
    </w:p>
    <w:p>
      <w:pPr>
        <w:numPr>
          <w:ilvl w:val="0"/>
          <w:numId w:val="5"/>
        </w:numPr>
        <w:spacing w:lineRule="auto"/>
      </w:pPr>
      <w:r>
        <w:rPr/>
        <w:t xml:space="preserve">Check: wekelijkse KPI-review (RS, OPL, GIS) en maandelijkse all-KPI review (incl. CO₂, kwaliteit, faalkosten).</w:t>
      </w:r>
    </w:p>
    <w:p>
      <w:pPr>
        <w:numPr>
          <w:ilvl w:val="0"/>
          <w:numId w:val="5"/>
        </w:numPr>
        <w:spacing w:lineRule="auto"/>
      </w:pPr>
      <w:r>
        <w:rPr/>
        <w:t xml:space="preserve">Act: corrigerende acties binnen 48–72 uur bij afwijkingen; structurele verbeteringen binnen 2 weken; lessons learned per kwartaal en doorvoering in werkinstructies.</w:t>
      </w:r>
    </w:p>
    <w:p>
      <w:pPr>
        <w:spacing w:lineRule="auto"/>
      </w:pPr>
      <w:r>
        <w:rPr/>
        <w:t xml:space="preserve">Conformiteit EMVI-criteria</w:t>
      </w:r>
    </w:p>
    <w:p>
      <w:pPr>
        <w:numPr>
          <w:ilvl w:val="0"/>
          <w:numId w:val="6"/>
        </w:numPr>
        <w:spacing w:lineRule="auto"/>
      </w:pPr>
      <w:r>
        <w:rPr/>
        <w:t xml:space="preserve">Kwaliteit: risico’s 7 en 12 minimaliseren afkeur en verhogen voorspelbaarheid.</w:t>
      </w:r>
    </w:p>
    <w:p>
      <w:pPr>
        <w:numPr>
          <w:ilvl w:val="0"/>
          <w:numId w:val="6"/>
        </w:numPr>
        <w:spacing w:lineRule="auto"/>
      </w:pPr>
      <w:r>
        <w:rPr/>
        <w:t xml:space="preserve">Duurzaamheid: risico’s 4 en 5 borgen emissiearm materieel en CO₂-reductie.</w:t>
      </w:r>
    </w:p>
    <w:p>
      <w:pPr>
        <w:numPr>
          <w:ilvl w:val="0"/>
          <w:numId w:val="6"/>
        </w:numPr>
        <w:spacing w:lineRule="auto"/>
      </w:pPr>
      <w:r>
        <w:rPr/>
        <w:t xml:space="preserve">Risicobeheersing: integrale PDCA met objectieve bewijslast en dashboards.</w:t>
      </w:r>
    </w:p>
    <w:p>
      <w:pPr>
        <w:numPr>
          <w:ilvl w:val="0"/>
          <w:numId w:val="6"/>
        </w:numPr>
        <w:spacing w:lineRule="auto"/>
      </w:pPr>
      <w:r>
        <w:rPr/>
        <w:t xml:space="preserve">Prijs: risico 13 houdt faalkosten laag en beperkt meerwerk.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Risicoregister</dc:title>
  <dc:subject/>
  <dc:creator>html-to-docx</dc:creator>
  <cp:keywords>html-to-docx</cp:keywords>
  <dc:description/>
  <cp:lastModifiedBy>html-to-docx</cp:lastModifiedBy>
  <cp:revision>1</cp:revision>
  <dcterms:created xsi:type="dcterms:W3CDTF">2025-11-03T22:29:17.756Z</dcterms:created>
  <dcterms:modified xsi:type="dcterms:W3CDTF">2025-11-03T22:29:17.756Z</dcterms:modified>
</cp:coreProperties>
</file>