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Assumpties &amp; Uitsluitingen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Aannames &amp; Uitsluitingen — Raamovereenkomst ICT-beheer en Cloud (NVAO)</w:t>
      </w:r>
    </w:p>
    <w:p>
      <w:pPr>
        <w:spacing w:lineRule="auto"/>
      </w:pPr>
      <w:r>
        <w:rPr/>
        <w:t xml:space="preserve">Scopekader en definities</w:t>
      </w:r>
    </w:p>
    <w:p>
      <w:pPr>
        <w:numPr>
          <w:ilvl w:val="0"/>
          <w:numId w:val="1"/>
        </w:numPr>
        <w:spacing w:lineRule="auto"/>
      </w:pPr>
      <w:r>
        <w:rPr/>
        <w:t xml:space="preserve">Scopeafbakening: deze aanbieding ziet uitsluitend op diensten voor beheer, onderhoud en beveiliging van cloud- en infrastructuuroplossingen voor NVAO, met gebruik van Microsoft Azure in Nederlandse datacenters (regio West Europe/NL). Geen catering/horeca-activiteiten.</w:t>
      </w:r>
    </w:p>
    <w:p>
      <w:pPr>
        <w:numPr>
          <w:ilvl w:val="0"/>
          <w:numId w:val="1"/>
        </w:numPr>
        <w:spacing w:lineRule="auto"/>
      </w:pPr>
      <w:r>
        <w:rPr/>
        <w:t xml:space="preserve">Contracttype: diensten binnen een raamovereenkomst, gunning op EMVI.</w:t>
      </w:r>
    </w:p>
    <w:p>
      <w:pPr>
        <w:numPr>
          <w:ilvl w:val="0"/>
          <w:numId w:val="1"/>
        </w:numPr>
        <w:spacing w:lineRule="auto"/>
      </w:pPr>
      <w:r>
        <w:rPr/>
        <w:t xml:space="preserve">KO-conformiteit: ISO 27001 (geldig certificaat) en VOG voor alle ingezette medewerkers op NVAO-locaties of met toegang tot NVAO-data.</w:t>
      </w:r>
    </w:p>
    <w:p>
      <w:pPr>
        <w:spacing w:lineRule="auto"/>
      </w:pPr>
      <w:r>
        <w:rPr/>
        <w:t xml:space="preserve">Aannames (SMART, uitvoerbaar per startdatum T0)</w:t>
      </w:r>
    </w:p>
    <w:p>
      <w:pPr>
        <w:numPr>
          <w:ilvl w:val="0"/>
          <w:numId w:val="2"/>
        </w:numPr>
        <w:spacing w:lineRule="auto"/>
      </w:pPr>
      <w:r>
        <w:rPr/>
        <w:t xml:space="preserve">A1 Toegangsvoorzieningen: NVAO verstrekt binnen 5 werkdagen na T0 de benodigde bevoegdheden, netwerktoegang en contactgegevens van sleutelpersonen. Meetbaar: accounts actief en getest (E-02). Impact bij overschrijding: SLA-timers starten pas na toegang.</w:t>
      </w:r>
    </w:p>
    <w:p>
      <w:pPr>
        <w:numPr>
          <w:ilvl w:val="0"/>
          <w:numId w:val="2"/>
        </w:numPr>
        <w:spacing w:lineRule="auto"/>
      </w:pPr>
      <w:r>
        <w:rPr/>
        <w:t xml:space="preserve">A2 Regie en acceptatie: NVAO wijst per T0 een product owner (0,2 FTE) aan die binnen 2 werkdagen wijzigingen/acceptaties fiatteert. Doel: doorlooptijd changes ≤ 5 werkdagen (K3).</w:t>
      </w:r>
    </w:p>
    <w:p>
      <w:pPr>
        <w:numPr>
          <w:ilvl w:val="0"/>
          <w:numId w:val="2"/>
        </w:numPr>
        <w:spacing w:lineRule="auto"/>
      </w:pPr>
      <w:r>
        <w:rPr/>
        <w:t xml:space="preserve">A3 Documentatie: actuele systeem-/netwerkdocumentatie, CMDB, licentie-overzichten en dataclassificaties worden uiterlijk T0+10 werkdagen geleverd. Zonder dit geldt “best effort” beheer en risico R-01 neemt toe.</w:t>
      </w:r>
    </w:p>
    <w:p>
      <w:pPr>
        <w:numPr>
          <w:ilvl w:val="0"/>
          <w:numId w:val="2"/>
        </w:numPr>
        <w:spacing w:lineRule="auto"/>
      </w:pPr>
      <w:r>
        <w:rPr/>
        <w:t xml:space="preserve">A4 Dataplatform: workloads draaien op Azure West Europe (NL). Afwijking (andere regio/third party) alleen na schriftelijke akkoord en DPIA-impactbeoordeling (R-03).</w:t>
      </w:r>
    </w:p>
    <w:p>
      <w:pPr>
        <w:numPr>
          <w:ilvl w:val="0"/>
          <w:numId w:val="2"/>
        </w:numPr>
        <w:spacing w:lineRule="auto"/>
      </w:pPr>
      <w:r>
        <w:rPr/>
        <w:t xml:space="preserve">A5 Onderhoudsvensters: minimaal 2 geplande onderhoudsmomenten per jaar, ieder met ≥ 10 werkdagen voorafmelding. Doel: non-disruptive updates, beschikbaarheid ≥ 99,8% (K2).</w:t>
      </w:r>
    </w:p>
    <w:p>
      <w:pPr>
        <w:numPr>
          <w:ilvl w:val="0"/>
          <w:numId w:val="2"/>
        </w:numPr>
        <w:spacing w:lineRule="auto"/>
      </w:pPr>
      <w:r>
        <w:rPr/>
        <w:t xml:space="preserve">A6 24/7 beschikbaarheid: Uno levert 24/7 monitoring en incidentafhandeling voor kritieke incidenten. Responstijd ≤ 1 uur, oplostijd ≤ 4 uur (K1/K4).</w:t>
      </w:r>
    </w:p>
    <w:p>
      <w:pPr>
        <w:numPr>
          <w:ilvl w:val="0"/>
          <w:numId w:val="2"/>
        </w:numPr>
        <w:spacing w:lineRule="auto"/>
      </w:pPr>
      <w:r>
        <w:rPr/>
        <w:t xml:space="preserve">A7 Rapportages: beveiligingsincidenten per kwartaal gerapporteerd; ernstige datalekken binnen 24 uur na ontdekking aan NVAO gemeld (AVG-incidentmelding).</w:t>
      </w:r>
    </w:p>
    <w:p>
      <w:pPr>
        <w:numPr>
          <w:ilvl w:val="0"/>
          <w:numId w:val="2"/>
        </w:numPr>
        <w:spacing w:lineRule="auto"/>
      </w:pPr>
      <w:r>
        <w:rPr/>
        <w:t xml:space="preserve">A8 Scope van hardware en applicaties: hardwareleveringen en applicatieontwikkeling zijn uitgesloten; onboarding van bestaande systemen valt in scope.</w:t>
      </w:r>
    </w:p>
    <w:p>
      <w:pPr>
        <w:numPr>
          <w:ilvl w:val="0"/>
          <w:numId w:val="2"/>
        </w:numPr>
        <w:spacing w:lineRule="auto"/>
      </w:pPr>
      <w:r>
        <w:rPr/>
        <w:t xml:space="preserve">A9 Licenties en cloudkosten: Microsoft/Azure-licenties en verbruikskosten (compute, storage, egress) zijn voor rekening van NVAO, tenzij vooraf schriftelijk als “inbegrepen” vastgelegd.</w:t>
      </w:r>
    </w:p>
    <w:p>
      <w:pPr>
        <w:spacing w:lineRule="auto"/>
      </w:pPr>
      <w:r>
        <w:rPr/>
        <w:t xml:space="preserve">Juridische uitsluitingen en randvoorwaarden</w:t>
      </w:r>
    </w:p>
    <w:p>
      <w:pPr>
        <w:numPr>
          <w:ilvl w:val="0"/>
          <w:numId w:val="3"/>
        </w:numPr>
        <w:spacing w:lineRule="auto"/>
      </w:pPr>
      <w:r>
        <w:rPr/>
        <w:t xml:space="preserve">J1 Data-rol en AVG: NVAO is verwerkingsverantwoordelijke; Uno is verwerker. Een ondertekende verwerkersovereenkomst (conform AVG en ISO 27001 Annex A-controles) is voorwaarde voor aanvang productiebeheer.</w:t>
      </w:r>
    </w:p>
    <w:p>
      <w:pPr>
        <w:numPr>
          <w:ilvl w:val="0"/>
          <w:numId w:val="3"/>
        </w:numPr>
        <w:spacing w:lineRule="auto"/>
      </w:pPr>
      <w:r>
        <w:rPr/>
        <w:t xml:space="preserve">J2 Aansprakelijkheid: aansprakelijkheid beperkt tot het totaal aan door NVAO betaalde vergoedingen over de laatste 12 maanden, met uitsluiting van gevolgschade/indirecte schade en datareconstructiekosten, behoudens opzet/grove schuld of dwingend recht.</w:t>
      </w:r>
    </w:p>
    <w:p>
      <w:pPr>
        <w:numPr>
          <w:ilvl w:val="0"/>
          <w:numId w:val="3"/>
        </w:numPr>
        <w:spacing w:lineRule="auto"/>
      </w:pPr>
      <w:r>
        <w:rPr/>
        <w:t xml:space="preserve">J3 SLA-remedies: bij SLA-onderprestatie gelden uitsluitend de in het (te sluiten) raamcontract overeengekomen service credits als enige en exclusieve remedie, behoudens dwingend recht.</w:t>
      </w:r>
    </w:p>
    <w:p>
      <w:pPr>
        <w:numPr>
          <w:ilvl w:val="0"/>
          <w:numId w:val="3"/>
        </w:numPr>
        <w:spacing w:lineRule="auto"/>
      </w:pPr>
      <w:r>
        <w:rPr/>
        <w:t xml:space="preserve">J4 Overmacht/derden: verstoringen door derden (o.a. Microsoft Azure, internetproviders) en overmacht zijn uitgesloten van boete/credits; Uno faciliteert escalaties en herstel.</w:t>
      </w:r>
    </w:p>
    <w:p>
      <w:pPr>
        <w:numPr>
          <w:ilvl w:val="0"/>
          <w:numId w:val="3"/>
        </w:numPr>
        <w:spacing w:lineRule="auto"/>
      </w:pPr>
      <w:r>
        <w:rPr/>
        <w:t xml:space="preserve">J5 Wijzigingsbeheer: scopewijzigingen verlopen via change control met vooraf schriftelijke goedkeuring van NVAO; pas na akkoord worden planning en eventuele kosten geactiveerd.</w:t>
      </w:r>
    </w:p>
    <w:p>
      <w:pPr>
        <w:numPr>
          <w:ilvl w:val="0"/>
          <w:numId w:val="3"/>
        </w:numPr>
        <w:spacing w:lineRule="auto"/>
      </w:pPr>
      <w:r>
        <w:rPr/>
        <w:t xml:space="preserve">J6 Audit en testen: security-audits/pen-tests door of namens NVAO zijn 1x per 12 maanden inbegrepen mits 15 werkdagen vooraf afgestemd en zonder productieonderbreking; additionele audits op separate opdracht.</w:t>
      </w:r>
    </w:p>
    <w:p>
      <w:pPr>
        <w:numPr>
          <w:ilvl w:val="0"/>
          <w:numId w:val="3"/>
        </w:numPr>
        <w:spacing w:lineRule="auto"/>
      </w:pPr>
      <w:r>
        <w:rPr/>
        <w:t xml:space="preserve">J7 Intellectuele eigendom: Uno behoudt IE op templates, scripts en tooling; NVAO krijgt een niet-exclusief gebruiksrecht voor de contractduur.</w:t>
      </w:r>
    </w:p>
    <w:p>
      <w:pPr>
        <w:numPr>
          <w:ilvl w:val="0"/>
          <w:numId w:val="3"/>
        </w:numPr>
        <w:spacing w:lineRule="auto"/>
      </w:pPr>
      <w:r>
        <w:rPr/>
        <w:t xml:space="preserve">J8 Personeelscreening: inzet van medewerkers is afhankelijk van tijdige VOG-verkrijging; NVAO aanvaardt eventuele startvertraging indien screening-termijnen nationaal oplopen.</w:t>
      </w:r>
    </w:p>
    <w:p>
      <w:pPr>
        <w:numPr>
          <w:ilvl w:val="0"/>
          <w:numId w:val="3"/>
        </w:numPr>
        <w:spacing w:lineRule="auto"/>
      </w:pPr>
      <w:r>
        <w:rPr/>
        <w:t xml:space="preserve">J9 Vrijwaring licenties: NVAO staat in voor rechtmatige inzet van eigen licenties. Uno levert op verzoek bewijs van naleving voor door Uno geleverde licenties.</w:t>
      </w:r>
    </w:p>
    <w:p>
      <w:pPr>
        <w:numPr>
          <w:ilvl w:val="0"/>
          <w:numId w:val="3"/>
        </w:numPr>
        <w:spacing w:lineRule="auto"/>
      </w:pPr>
      <w:r>
        <w:rPr/>
        <w:t xml:space="preserve">J10 Exports/sovereignty: exportrestricties en data-soevereiniteitsregels worden gevolgd; verzoeken die daarmee conflicteren worden afgewezen.</w:t>
      </w:r>
    </w:p>
    <w:p>
      <w:pPr>
        <w:spacing w:lineRule="auto"/>
      </w:pPr>
      <w:r>
        <w:rPr/>
        <w:t xml:space="preserve">Financiële consequenties en prijsafspraken</w:t>
      </w:r>
    </w:p>
    <w:p>
      <w:pPr>
        <w:numPr>
          <w:ilvl w:val="0"/>
          <w:numId w:val="4"/>
        </w:numPr>
        <w:spacing w:lineRule="auto"/>
      </w:pPr>
      <w:r>
        <w:rPr/>
        <w:t xml:space="preserve">F1 Prijszekerheid: tarieven voor basis-scope zijn vast gedurende de contractperiode conform ingediende prijsbijlage (pricing locked). Indexatie en prijsaanpassingen zijn alleen mogelijk indien contractueel overeengekomen.</w:t>
      </w:r>
    </w:p>
    <w:p>
      <w:pPr>
        <w:numPr>
          <w:ilvl w:val="0"/>
          <w:numId w:val="4"/>
        </w:numPr>
        <w:spacing w:lineRule="auto"/>
      </w:pPr>
      <w:r>
        <w:rPr/>
        <w:t xml:space="preserve">F2 Meerwerk: werkzaamheden buiten de must-haves/SLAs (bijv. extra onderhoudsvensters, spoedchanges op verzoek, on-site inzet buiten calamiteiten) worden alleen uitgevoerd na schriftelijke opdracht; kosten vooraf geoffreerd en pas na akkoord uitgevoerd.</w:t>
      </w:r>
    </w:p>
    <w:p>
      <w:pPr>
        <w:numPr>
          <w:ilvl w:val="0"/>
          <w:numId w:val="4"/>
        </w:numPr>
        <w:spacing w:lineRule="auto"/>
      </w:pPr>
      <w:r>
        <w:rPr/>
        <w:t xml:space="preserve">F3 Azure-kosten: gebruik, opslag, back-up, archivering, data-egress en cross-region replicatiekosten komen voor rekening van NVAO. Keuzes met significante kostenimpact (bijv. extra-retentie) worden vooraf ter goedkeuring voorgelegd.</w:t>
      </w:r>
    </w:p>
    <w:p>
      <w:pPr>
        <w:numPr>
          <w:ilvl w:val="0"/>
          <w:numId w:val="4"/>
        </w:numPr>
        <w:spacing w:lineRule="auto"/>
      </w:pPr>
      <w:r>
        <w:rPr/>
        <w:t xml:space="preserve">F4 On-site interventies: 24/7 remote-respons is inbegrepen. On-site inzet is niet inbegrepen en wordt enkel op verzoek en na akkoord uitgevoerd als meerwerk.</w:t>
      </w:r>
    </w:p>
    <w:p>
      <w:pPr>
        <w:numPr>
          <w:ilvl w:val="0"/>
          <w:numId w:val="4"/>
        </w:numPr>
        <w:spacing w:lineRule="auto"/>
      </w:pPr>
      <w:r>
        <w:rPr/>
        <w:t xml:space="preserve">F5 Garantietermijn: 12 maanden functionele garantie op projectmatige configuraties die binnen deze opdracht zijn opgeleverd; garantie omvat herstel van gebreken die aan Uno toerekenbaar zijn.</w:t>
      </w:r>
    </w:p>
    <w:p>
      <w:pPr>
        <w:spacing w:lineRule="auto"/>
      </w:pPr>
      <w:r>
        <w:rPr/>
        <w:t xml:space="preserve">Kwaliteit en bewijsvoering</w:t>
      </w:r>
    </w:p>
    <w:p>
      <w:pPr>
        <w:numPr>
          <w:ilvl w:val="0"/>
          <w:numId w:val="5"/>
        </w:numPr>
        <w:spacing w:lineRule="auto"/>
      </w:pPr>
      <w:r>
        <w:rPr/>
        <w:t xml:space="preserve">ISO en processen: Uno is gecertificeerd voor ISO 27001 en ISO 9001. Bewijs: actuele certificaten op naam van Uno Automatiseringsdiensten B.V. beschikbaar op verzoek (E-05).</w:t>
      </w:r>
    </w:p>
    <w:p>
      <w:pPr>
        <w:numPr>
          <w:ilvl w:val="0"/>
          <w:numId w:val="5"/>
        </w:numPr>
        <w:spacing w:lineRule="auto"/>
      </w:pPr>
      <w:r>
        <w:rPr/>
        <w:t xml:space="preserve">VOG: VOG-bewijzen worden beheerd en op verzoek ingezien (E-06).</w:t>
      </w:r>
    </w:p>
    <w:p>
      <w:pPr>
        <w:numPr>
          <w:ilvl w:val="0"/>
          <w:numId w:val="5"/>
        </w:numPr>
        <w:spacing w:lineRule="auto"/>
      </w:pPr>
      <w:r>
        <w:rPr/>
        <w:t xml:space="preserve">Logging en metrics: NOC-logs, Azure-availability-metrics, ticketdata en change-logs worden maandelijks gedeeld (E-01 t/m E-04).</w:t>
      </w:r>
    </w:p>
    <w:p>
      <w:pPr>
        <w:spacing w:lineRule="auto"/>
      </w:pPr>
      <w:r>
        <w:rPr/>
        <w:t xml:space="preserve">KPI-definities (samengevat)</w:t>
      </w:r>
    </w:p>
    <w:p>
      <w:pPr>
        <w:numPr>
          <w:ilvl w:val="0"/>
          <w:numId w:val="6"/>
        </w:numPr>
        <w:spacing w:lineRule="auto"/>
      </w:pPr>
      <w:r>
        <w:rPr/>
        <w:t xml:space="preserve">K1 Responstijd storingen: ≤ 1 uur (24/7).</w:t>
      </w:r>
    </w:p>
    <w:p>
      <w:pPr>
        <w:numPr>
          <w:ilvl w:val="0"/>
          <w:numId w:val="6"/>
        </w:numPr>
        <w:spacing w:lineRule="auto"/>
      </w:pPr>
      <w:r>
        <w:rPr/>
        <w:t xml:space="preserve">K2 Beschikbaarheid: ≥ 99,8% per kalendermaand, excl. aangekondigd onderhoud.</w:t>
      </w:r>
    </w:p>
    <w:p>
      <w:pPr>
        <w:numPr>
          <w:ilvl w:val="0"/>
          <w:numId w:val="6"/>
        </w:numPr>
        <w:spacing w:lineRule="auto"/>
      </w:pPr>
      <w:r>
        <w:rPr/>
        <w:t xml:space="preserve">K3 Doorlooptijd standaard changes: ≤ 5 werkdagen.</w:t>
      </w:r>
    </w:p>
    <w:p>
      <w:pPr>
        <w:numPr>
          <w:ilvl w:val="0"/>
          <w:numId w:val="6"/>
        </w:numPr>
        <w:spacing w:lineRule="auto"/>
      </w:pPr>
      <w:r>
        <w:rPr/>
        <w:t xml:space="preserve">K4 Oplostijd kritieke incidenten: ≤ 4 uur.</w:t>
      </w:r>
    </w:p>
    <w:p>
      <w:pPr>
        <w:spacing w:lineRule="auto"/>
      </w:pPr>
      <w:r>
        <w:rPr/>
        <w:t xml:space="preserve">Kruisverbanden W-xx ↔ KPI ↔ Risico ↔ Bewijs</w:t>
      </w:r>
    </w:p>
    <w:p>
      <w:pPr>
        <w:numPr>
          <w:ilvl w:val="0"/>
          <w:numId w:val="7"/>
        </w:numPr>
        <w:spacing w:lineRule="auto"/>
      </w:pPr>
      <w:r>
        <w:rPr/>
        <w:t xml:space="preserve">W-01 24/7 monitoring en triage → KPI: K1, K4 → Risico: R-02 (toegang), R-07 (derden) → Bewijs: E-01 NOC-incidentlog en escalaties.</w:t>
      </w:r>
    </w:p>
    <w:p>
      <w:pPr>
        <w:numPr>
          <w:ilvl w:val="0"/>
          <w:numId w:val="7"/>
        </w:numPr>
        <w:spacing w:lineRule="auto"/>
      </w:pPr>
      <w:r>
        <w:rPr/>
        <w:t xml:space="preserve">W-02 Incidentbeheer (ITIL) → KPI: K1, K4 → Risico: R-04 (security) → Bewijs: E-02 Ticketrapportage en P1/P2-postmortems.</w:t>
      </w:r>
    </w:p>
    <w:p>
      <w:pPr>
        <w:numPr>
          <w:ilvl w:val="0"/>
          <w:numId w:val="7"/>
        </w:numPr>
        <w:spacing w:lineRule="auto"/>
      </w:pPr>
      <w:r>
        <w:rPr/>
        <w:t xml:space="preserve">W-03 Change &amp; release management → KPI: K3 → Risico: R-06 (wijzigingsstop) → Bewijs: E-03 CAB-notulen, change-kalender.</w:t>
      </w:r>
    </w:p>
    <w:p>
      <w:pPr>
        <w:numPr>
          <w:ilvl w:val="0"/>
          <w:numId w:val="7"/>
        </w:numPr>
        <w:spacing w:lineRule="auto"/>
      </w:pPr>
      <w:r>
        <w:rPr/>
        <w:t xml:space="preserve">W-04 Availability management → KPI: K2 → Risico: R-03 (Azure-outage) → Bewijs: E-04 Azure SLA-metrics, uptime-rapport.</w:t>
      </w:r>
    </w:p>
    <w:p>
      <w:pPr>
        <w:numPr>
          <w:ilvl w:val="0"/>
          <w:numId w:val="7"/>
        </w:numPr>
        <w:spacing w:lineRule="auto"/>
      </w:pPr>
      <w:r>
        <w:rPr/>
        <w:t xml:space="preserve">W-05 Security operations (patching, hardening) → KPI: K2 → Risico: R-04 → Bewijs: E-07 Patchcompliance-rapporten.</w:t>
      </w:r>
    </w:p>
    <w:p>
      <w:pPr>
        <w:numPr>
          <w:ilvl w:val="0"/>
          <w:numId w:val="7"/>
        </w:numPr>
        <w:spacing w:lineRule="auto"/>
      </w:pPr>
      <w:r>
        <w:rPr/>
        <w:t xml:space="preserve">W-06 Rapportages en reviews (maandelijks) → KPI: K1–K4 → Risico: R-01 (documentatie) → Bewijs: E-08 Maandrapporten, PDCA-actielijst.</w:t>
      </w:r>
    </w:p>
    <w:p>
      <w:pPr>
        <w:numPr>
          <w:ilvl w:val="0"/>
          <w:numId w:val="7"/>
        </w:numPr>
        <w:spacing w:lineRule="auto"/>
      </w:pPr>
      <w:r>
        <w:rPr/>
        <w:t xml:space="preserve">W-07 Onboarding &amp; acceptatie (T0–T0+30 dgn) → KPI: K3 → Risico: R-01, R-02 → Bewijs: E-09 Acceptatieformulieren.</w:t>
      </w:r>
    </w:p>
    <w:p>
      <w:pPr>
        <w:numPr>
          <w:ilvl w:val="0"/>
          <w:numId w:val="7"/>
        </w:numPr>
        <w:spacing w:lineRule="auto"/>
      </w:pPr>
      <w:r>
        <w:rPr/>
        <w:t xml:space="preserve">W-08 Onderhoudsvensters (≥2/jaar) → KPI: K2 → Risico: R-06 → Bewijs: E-10 Aangekondigde onderhoudsberichten.</w:t>
      </w:r>
    </w:p>
    <w:p>
      <w:pPr>
        <w:numPr>
          <w:ilvl w:val="0"/>
          <w:numId w:val="7"/>
        </w:numPr>
        <w:spacing w:lineRule="auto"/>
      </w:pPr>
      <w:r>
        <w:rPr/>
        <w:t xml:space="preserve">W-09 Dataprotectie (back-up/retentie) → KPI: K2 → Risico: R-04 → Bewijs: E-11 Back-upjobsucces, restore-tests.</w:t>
      </w:r>
    </w:p>
    <w:p>
      <w:pPr>
        <w:numPr>
          <w:ilvl w:val="0"/>
          <w:numId w:val="7"/>
        </w:numPr>
        <w:spacing w:lineRule="auto"/>
      </w:pPr>
      <w:r>
        <w:rPr/>
        <w:t xml:space="preserve">W-10 Compliance (ISO/AVG) → KPI: K1–K4 indirect → Risico: R-05 → Bewijs: E-05 Certificaten, E-12 DPIA/SoA.</w:t>
      </w:r>
    </w:p>
    <w:p>
      <w:pPr>
        <w:spacing w:lineRule="auto"/>
      </w:pPr>
      <w:r>
        <w:rPr/>
        <w:t xml:space="preserve">Risico’s en beheersmaatregelen (samenvatting)</w:t>
      </w:r>
    </w:p>
    <w:p>
      <w:pPr>
        <w:numPr>
          <w:ilvl w:val="0"/>
          <w:numId w:val="8"/>
        </w:numPr>
        <w:spacing w:lineRule="auto"/>
      </w:pPr>
      <w:r>
        <w:rPr/>
        <w:t xml:space="preserve">R-01 Onvolledige documentatie → Maatregel: intake + gaplist binnen 10 werkdagen; escalatie bij blocker. KPI-impact: K2/K3. Bewijs: E-09.</w:t>
      </w:r>
    </w:p>
    <w:p>
      <w:pPr>
        <w:numPr>
          <w:ilvl w:val="0"/>
          <w:numId w:val="8"/>
        </w:numPr>
        <w:spacing w:lineRule="auto"/>
      </w:pPr>
      <w:r>
        <w:rPr/>
        <w:t xml:space="preserve">R-02 Vertraagde toegang → Maatregel: pre-boarding en toegangsmatrix; tijdelijke read-only monitoring. KPI-impact: K1. Bewijs: E-02.</w:t>
      </w:r>
    </w:p>
    <w:p>
      <w:pPr>
        <w:numPr>
          <w:ilvl w:val="0"/>
          <w:numId w:val="8"/>
        </w:numPr>
        <w:spacing w:lineRule="auto"/>
      </w:pPr>
      <w:r>
        <w:rPr/>
        <w:t xml:space="preserve">R-03 Azure-regionale storing → Maatregel: redundancy binnen NL-regio, optionele DR; duidelijke RTO/RPO-afspraken. KPI-impact: K2. Bewijs: E-04/E-11.</w:t>
      </w:r>
    </w:p>
    <w:p>
      <w:pPr>
        <w:numPr>
          <w:ilvl w:val="0"/>
          <w:numId w:val="8"/>
        </w:numPr>
        <w:spacing w:lineRule="auto"/>
      </w:pPr>
      <w:r>
        <w:rPr/>
        <w:t xml:space="preserve">R-04 Security-incident/malware → Maatregel: EDR/NDR integratie, patching-cadans, 24/7 triage; melding &lt; 24 uur. KPI-impact: K1/K2. Bewijs: E-07/E-08.</w:t>
      </w:r>
    </w:p>
    <w:p>
      <w:pPr>
        <w:numPr>
          <w:ilvl w:val="0"/>
          <w:numId w:val="8"/>
        </w:numPr>
        <w:spacing w:lineRule="auto"/>
      </w:pPr>
      <w:r>
        <w:rPr/>
        <w:t xml:space="preserve">R-05 VOG niet tijdig → Maatregel: vroegtijdige aanvraag; tijdelijke vervanging. KPI-impact: n.v.t., maar startvertraging mogelijk. Bewijs: E-06.</w:t>
      </w:r>
    </w:p>
    <w:p>
      <w:pPr>
        <w:numPr>
          <w:ilvl w:val="0"/>
          <w:numId w:val="8"/>
        </w:numPr>
        <w:spacing w:lineRule="auto"/>
      </w:pPr>
      <w:r>
        <w:rPr/>
        <w:t xml:space="preserve">R-06 Change freeze/vergunningswindow → Maatregel: kalenderafstemming; noodchange-proces. KPI-impact: K3/K2. Bewijs: E-03.</w:t>
      </w:r>
    </w:p>
    <w:p>
      <w:pPr>
        <w:numPr>
          <w:ilvl w:val="0"/>
          <w:numId w:val="8"/>
        </w:numPr>
        <w:spacing w:lineRule="auto"/>
      </w:pPr>
      <w:r>
        <w:rPr/>
        <w:t xml:space="preserve">R-07 Afhankelijkheid derden (telco/app-leveranciers) → Maatregel: heldere demarcatie en escalatiepaden. KPI-impact: K1/K4. Bewijs: E-01/E-02.</w:t>
      </w:r>
    </w:p>
    <w:p>
      <w:pPr>
        <w:spacing w:lineRule="auto"/>
      </w:pPr>
      <w:r>
        <w:rPr/>
        <w:t xml:space="preserve">PDCA-borging</w:t>
      </w:r>
    </w:p>
    <w:p>
      <w:pPr>
        <w:numPr>
          <w:ilvl w:val="0"/>
          <w:numId w:val="9"/>
        </w:numPr>
        <w:spacing w:lineRule="auto"/>
      </w:pPr>
      <w:r>
        <w:rPr/>
        <w:t xml:space="preserve">Plan: vastleggen SLA’s, KPI’s, securitycontrols, rollen en demarcatie (contract + PvA).</w:t>
      </w:r>
    </w:p>
    <w:p>
      <w:pPr>
        <w:numPr>
          <w:ilvl w:val="0"/>
          <w:numId w:val="9"/>
        </w:numPr>
        <w:spacing w:lineRule="auto"/>
      </w:pPr>
      <w:r>
        <w:rPr/>
        <w:t xml:space="preserve">Do: leveren 24/7 monitoring, incident/change-processen, onderhoud en rapportage.</w:t>
      </w:r>
    </w:p>
    <w:p>
      <w:pPr>
        <w:numPr>
          <w:ilvl w:val="0"/>
          <w:numId w:val="9"/>
        </w:numPr>
        <w:spacing w:lineRule="auto"/>
      </w:pPr>
      <w:r>
        <w:rPr/>
        <w:t xml:space="preserve">Check: maandelijkse KPI/SLA-rapporten, kwartaal security-rapporten, managementreview.</w:t>
      </w:r>
    </w:p>
    <w:p>
      <w:pPr>
        <w:numPr>
          <w:ilvl w:val="0"/>
          <w:numId w:val="9"/>
        </w:numPr>
        <w:spacing w:lineRule="auto"/>
      </w:pPr>
      <w:r>
        <w:rPr/>
        <w:t xml:space="preserve">Act: verbeteracties met eigenaar, deadline en effectmeting; doorvoeren via CAB.</w:t>
      </w:r>
    </w:p>
    <w:p>
      <w:pPr>
        <w:spacing w:lineRule="auto"/>
      </w:pPr>
      <w:r>
        <w:rPr/>
        <w:t xml:space="preserve">Conformiteit met aanbestedingseisen</w:t>
      </w:r>
    </w:p>
    <w:p>
      <w:pPr>
        <w:numPr>
          <w:ilvl w:val="0"/>
          <w:numId w:val="10"/>
        </w:numPr>
        <w:spacing w:lineRule="auto"/>
      </w:pPr>
      <w:r>
        <w:rPr/>
        <w:t xml:space="preserve">Must-haves: SLA-responstijd &lt; 1 uur, 24/7 support, beschikbaarheid ≥ 99,8%, ≥ 2 onderhoudsmomenten/jaar, Azure NL, periodieke securityrapportage — allen opgenomen in A1–A8, W-01 t/m W-10, KPI K1–K4 en bijbehorende bewijzen E-01 t/m E-12.</w:t>
      </w:r>
    </w:p>
    <w:p>
      <w:pPr>
        <w:spacing w:lineRule="auto"/>
      </w:pPr>
      <w:r>
        <w:rPr/>
        <w:t xml:space="preserve">Juridische en operationele consequenties bij afwijkingen op aannames</w:t>
      </w:r>
    </w:p>
    <w:p>
      <w:pPr>
        <w:numPr>
          <w:ilvl w:val="0"/>
          <w:numId w:val="11"/>
        </w:numPr>
        <w:spacing w:lineRule="auto"/>
      </w:pPr>
      <w:r>
        <w:rPr/>
        <w:t xml:space="preserve">SLA-klokken pauzeren bij ontbrekende toegang (A1) en bij freezes buiten onze regie (R-06).</w:t>
      </w:r>
    </w:p>
    <w:p>
      <w:pPr>
        <w:numPr>
          <w:ilvl w:val="0"/>
          <w:numId w:val="11"/>
        </w:numPr>
        <w:spacing w:lineRule="auto"/>
      </w:pPr>
      <w:r>
        <w:rPr/>
        <w:t xml:space="preserve">Extra werkzaamheden door gebrekkige documentatie (A3) of ad-hoc wijzigingen worden uitsluitend na change-goedkeuring uitgevoerd en kunnen leiden tot meerwerk (F2).</w:t>
      </w:r>
    </w:p>
    <w:p>
      <w:pPr>
        <w:numPr>
          <w:ilvl w:val="0"/>
          <w:numId w:val="11"/>
        </w:numPr>
        <w:spacing w:lineRule="auto"/>
      </w:pPr>
      <w:r>
        <w:rPr/>
        <w:t xml:space="preserve">Verplaatsing naar niet-NL datacenters (A4) vereist DPIA en kan additionele kosten en doorlooptijd veroorzaken (F3).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2"/>
        </w:numPr>
        <w:spacing w:lineRule="auto"/>
      </w:pPr>
      <w:r>
        <w:rPr/>
        <w:t xml:space="preserve">Gegevens van NVAO-product owner en escalatiecontacten.</w:t>
      </w:r>
    </w:p>
    <w:p>
      <w:pPr>
        <w:numPr>
          <w:ilvl w:val="0"/>
          <w:numId w:val="12"/>
        </w:numPr>
        <w:spacing w:lineRule="auto"/>
      </w:pPr>
      <w:r>
        <w:rPr/>
        <w:t xml:space="preserve">Toegangsmiddelen en autorisaties per rol (beheeraccounts, VPN/firewall-toegang).</w:t>
      </w:r>
    </w:p>
    <w:p>
      <w:pPr>
        <w:numPr>
          <w:ilvl w:val="0"/>
          <w:numId w:val="12"/>
        </w:numPr>
        <w:spacing w:lineRule="auto"/>
      </w:pPr>
      <w:r>
        <w:rPr/>
        <w:t xml:space="preserve">Volledige en actuele CMDB, netwerkdiagrammen, back-upbeleid en dataclassificaties.</w:t>
      </w:r>
    </w:p>
    <w:p>
      <w:pPr>
        <w:numPr>
          <w:ilvl w:val="0"/>
          <w:numId w:val="12"/>
        </w:numPr>
        <w:spacing w:lineRule="auto"/>
      </w:pPr>
      <w:r>
        <w:rPr/>
        <w:t xml:space="preserve">Overzicht van betrokken derde partijen en contractuele escalatiepaden.</w:t>
      </w:r>
    </w:p>
    <w:p>
      <w:pPr>
        <w:numPr>
          <w:ilvl w:val="0"/>
          <w:numId w:val="12"/>
        </w:numPr>
        <w:spacing w:lineRule="auto"/>
      </w:pPr>
      <w:r>
        <w:rPr/>
        <w:t xml:space="preserve">Bevestiging van Azure-regio-keuze (West Europe/NL) en gewenste back-up/retentieprofielen.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Assumpties &amp; Uitsluitingen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