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Nota van Inlichtingen — Clarificaties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05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Clarificatievragen – Raamovereenkomst (EMVI) ICT-diensten</w:t>
      </w:r>
    </w:p>
    <w:p>
      <w:pPr>
        <w:numPr>
          <w:ilvl w:val="0"/>
          <w:numId w:val="1"/>
        </w:numPr>
        <w:spacing w:lineRule="auto"/>
      </w:pPr>
      <w:r>
        <w:rPr/>
        <w:t xml:space="preserve">W-01 Scope en aanbestedingsdocumenten inconsistentie (titel vs. inhoud)</w:t>
      </w:r>
    </w:p>
    <w:p>
      <w:pPr>
        <w:numPr>
          <w:ilvl w:val="0"/>
          <w:numId w:val="2"/>
        </w:numPr>
        <w:spacing w:lineRule="auto"/>
      </w:pPr>
      <w:r>
        <w:rPr/>
        <w:t xml:space="preserve">Vraag (SMART): Bevestig binnen 5 werkdagen de juiste scope en opdrachtgever: betreft dit een ICT-raamovereenkomst voor cloud/infrastructuurbeheer (NVAO, sector ICT) of catering/horeca (Gemeente Middenstad)? Lever tegelijk de juiste referentie/aanbestedingsnummer en de actuele set aanbestedingsdocumenten.</w:t>
      </w:r>
    </w:p>
    <w:p>
      <w:pPr>
        <w:numPr>
          <w:ilvl w:val="0"/>
          <w:numId w:val="2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2"/>
        </w:numPr>
        <w:spacing w:lineRule="auto"/>
      </w:pPr>
      <w:r>
        <w:rPr/>
        <w:t xml:space="preserve">Impact: Onjuiste inschrijving, ongeldige EMVI-inzet en mismatch in plan van aanpak.</w:t>
      </w:r>
    </w:p>
    <w:p>
      <w:pPr>
        <w:numPr>
          <w:ilvl w:val="0"/>
          <w:numId w:val="2"/>
        </w:numPr>
        <w:spacing w:lineRule="auto"/>
      </w:pPr>
      <w:r>
        <w:rPr/>
        <w:t xml:space="preserve">Afhankelijkheden: Alle overige vragen; planning, prijsmodel en SLA-kaders.</w:t>
      </w:r>
    </w:p>
    <w:p>
      <w:pPr>
        <w:numPr>
          <w:ilvl w:val="0"/>
          <w:numId w:val="2"/>
        </w:numPr>
        <w:spacing w:lineRule="auto"/>
      </w:pPr>
      <w:r>
        <w:rPr/>
        <w:t xml:space="preserve">KPI-koppeling: KPI-0 Governance (100% documentconsistentie vóór indiening).</w:t>
      </w:r>
    </w:p>
    <w:p>
      <w:pPr>
        <w:numPr>
          <w:ilvl w:val="0"/>
          <w:numId w:val="2"/>
        </w:numPr>
        <w:spacing w:lineRule="auto"/>
      </w:pPr>
      <w:r>
        <w:rPr/>
        <w:t xml:space="preserve">Risico: R-0 Scope-creep en diskwalificatie.</w:t>
      </w:r>
    </w:p>
    <w:p>
      <w:pPr>
        <w:numPr>
          <w:ilvl w:val="0"/>
          <w:numId w:val="2"/>
        </w:numPr>
        <w:spacing w:lineRule="auto"/>
      </w:pPr>
      <w:r>
        <w:rPr/>
        <w:t xml:space="preserve">Bewijs: Overzicht “documentenregister” met versiedata en bevestigde scope.</w:t>
      </w:r>
    </w:p>
    <w:p>
      <w:pPr>
        <w:numPr>
          <w:ilvl w:val="0"/>
          <w:numId w:val="2"/>
        </w:numPr>
        <w:spacing w:lineRule="auto"/>
      </w:pPr>
      <w:r>
        <w:rPr/>
        <w:t xml:space="preserve">PDCA: P: verifiëren scope; D: aligneren PvA en KPI’s; C: interne review; A: wijzigingslog bij updates.</w:t>
      </w:r>
    </w:p>
    <w:p>
      <w:pPr>
        <w:numPr>
          <w:ilvl w:val="0"/>
          <w:numId w:val="3"/>
        </w:numPr>
        <w:spacing w:lineRule="auto"/>
      </w:pPr>
      <w:r>
        <w:rPr/>
        <w:t xml:space="preserve">W-02 Contractvorm raamovereenkomst, looptijd en afname</w:t>
      </w:r>
    </w:p>
    <w:p>
      <w:pPr>
        <w:numPr>
          <w:ilvl w:val="0"/>
          <w:numId w:val="4"/>
        </w:numPr>
        <w:spacing w:lineRule="auto"/>
      </w:pPr>
      <w:r>
        <w:rPr/>
        <w:t xml:space="preserve">Vraag (SMART): Bevestig binnen 5 werkdagen: (a) looptijd (bijv. 2+2 jaar), (b) maximale contractwaarde/plafond, (c) afnameverplichting of inspanningsverplichting, (d) lotindeling of enkelvoudig perceel, (e) minicompetities ja/nee en beoordelingswijze.</w:t>
      </w:r>
    </w:p>
    <w:p>
      <w:pPr>
        <w:numPr>
          <w:ilvl w:val="0"/>
          <w:numId w:val="4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4"/>
        </w:numPr>
        <w:spacing w:lineRule="auto"/>
      </w:pPr>
      <w:r>
        <w:rPr/>
        <w:t xml:space="preserve">Impact: Prijsstrategie, resource-allocatie, continuïteit en compliance.</w:t>
      </w:r>
    </w:p>
    <w:p>
      <w:pPr>
        <w:numPr>
          <w:ilvl w:val="0"/>
          <w:numId w:val="4"/>
        </w:numPr>
        <w:spacing w:lineRule="auto"/>
      </w:pPr>
      <w:r>
        <w:rPr/>
        <w:t xml:space="preserve">Afhankelijkheden: EMVI-prijsweging en indexatie (W-08).</w:t>
      </w:r>
    </w:p>
    <w:p>
      <w:pPr>
        <w:numPr>
          <w:ilvl w:val="0"/>
          <w:numId w:val="4"/>
        </w:numPr>
        <w:spacing w:lineRule="auto"/>
      </w:pPr>
      <w:r>
        <w:rPr/>
        <w:t xml:space="preserve">KPI-koppeling: KPI-F Financiële voorspelbaarheid (≤5% budgetafwijking).</w:t>
      </w:r>
    </w:p>
    <w:p>
      <w:pPr>
        <w:numPr>
          <w:ilvl w:val="0"/>
          <w:numId w:val="4"/>
        </w:numPr>
        <w:spacing w:lineRule="auto"/>
      </w:pPr>
      <w:r>
        <w:rPr/>
        <w:t xml:space="preserve">Risico: R-F Onrendabele inzet of overschrijding plafond.</w:t>
      </w:r>
    </w:p>
    <w:p>
      <w:pPr>
        <w:numPr>
          <w:ilvl w:val="0"/>
          <w:numId w:val="4"/>
        </w:numPr>
        <w:spacing w:lineRule="auto"/>
      </w:pPr>
      <w:r>
        <w:rPr/>
        <w:t xml:space="preserve">Bewijs: Contractmatrix met vastgelegde termijnen en plafonds.</w:t>
      </w:r>
    </w:p>
    <w:p>
      <w:pPr>
        <w:numPr>
          <w:ilvl w:val="0"/>
          <w:numId w:val="4"/>
        </w:numPr>
        <w:spacing w:lineRule="auto"/>
      </w:pPr>
      <w:r>
        <w:rPr/>
        <w:t xml:space="preserve">PDCA: P: scenario’s doorrekenen; D: resource baseline; C: budgettracking; A: bijsturen bezetting.</w:t>
      </w:r>
    </w:p>
    <w:p>
      <w:pPr>
        <w:numPr>
          <w:ilvl w:val="0"/>
          <w:numId w:val="5"/>
        </w:numPr>
        <w:spacing w:lineRule="auto"/>
      </w:pPr>
      <w:r>
        <w:rPr/>
        <w:t xml:space="preserve">W-03 SLA-definities en meetmethodiek (responstijd/oplostijd/beschikbaarheid)</w:t>
      </w:r>
    </w:p>
    <w:p>
      <w:pPr>
        <w:numPr>
          <w:ilvl w:val="0"/>
          <w:numId w:val="6"/>
        </w:numPr>
        <w:spacing w:lineRule="auto"/>
      </w:pPr>
      <w:r>
        <w:rPr/>
        <w:t xml:space="preserve">Vraag (SMART): Bevestig binnen 5 werkdagen de exacte definities en meetpunten: (a) starttimer responstijd (melding of triage?), (b) oplostijd-criterium (workaround toegestaan?), (c) beschikbaarheidsvenster (24x7 of kantoortijden), (d) meetmethode (tooling, kloktijden, maintenance-exclusies), (e) boete-/bonusregeling per KPI.</w:t>
      </w:r>
    </w:p>
    <w:p>
      <w:pPr>
        <w:numPr>
          <w:ilvl w:val="0"/>
          <w:numId w:val="6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6"/>
        </w:numPr>
        <w:spacing w:lineRule="auto"/>
      </w:pPr>
      <w:r>
        <w:rPr/>
        <w:t xml:space="preserve">Impact: SLA-naleving, boeterisico en operationele bezetting.</w:t>
      </w:r>
    </w:p>
    <w:p>
      <w:pPr>
        <w:numPr>
          <w:ilvl w:val="0"/>
          <w:numId w:val="6"/>
        </w:numPr>
        <w:spacing w:lineRule="auto"/>
      </w:pPr>
      <w:r>
        <w:rPr/>
        <w:t xml:space="preserve">Afhankelijkheden: Monitoringtooling (W-05), onderhoudsvensters (W-06).</w:t>
      </w:r>
    </w:p>
    <w:p>
      <w:pPr>
        <w:numPr>
          <w:ilvl w:val="0"/>
          <w:numId w:val="6"/>
        </w:numPr>
        <w:spacing w:lineRule="auto"/>
      </w:pPr>
      <w:r>
        <w:rPr/>
        <w:t xml:space="preserve">KPI-koppeling: KPI-A Beschikbaarheid ≥99,8%; KPI-R Response ≤1u; KPI-O Oplostijd ≤4u.</w:t>
      </w:r>
    </w:p>
    <w:p>
      <w:pPr>
        <w:numPr>
          <w:ilvl w:val="0"/>
          <w:numId w:val="6"/>
        </w:numPr>
        <w:spacing w:lineRule="auto"/>
      </w:pPr>
      <w:r>
        <w:rPr/>
        <w:t xml:space="preserve">Risico: R-SLA Onterechte SLA-breaches door onduidelijke startsignalen.</w:t>
      </w:r>
    </w:p>
    <w:p>
      <w:pPr>
        <w:numPr>
          <w:ilvl w:val="0"/>
          <w:numId w:val="6"/>
        </w:numPr>
        <w:spacing w:lineRule="auto"/>
      </w:pPr>
      <w:r>
        <w:rPr/>
        <w:t xml:space="preserve">Bewijs: SLA-matrix met drempels, uitzonderingen en rapportagesjabloon.</w:t>
      </w:r>
    </w:p>
    <w:p>
      <w:pPr>
        <w:numPr>
          <w:ilvl w:val="0"/>
          <w:numId w:val="6"/>
        </w:numPr>
        <w:spacing w:lineRule="auto"/>
      </w:pPr>
      <w:r>
        <w:rPr/>
        <w:t xml:space="preserve">PDCA: P: service design; D: runbooks en roosters; C: maandelijkse SLA-rapportage; A: root cause en verbeteracties.</w:t>
      </w:r>
    </w:p>
    <w:p>
      <w:pPr>
        <w:numPr>
          <w:ilvl w:val="0"/>
          <w:numId w:val="7"/>
        </w:numPr>
        <w:spacing w:lineRule="auto"/>
      </w:pPr>
      <w:r>
        <w:rPr/>
        <w:t xml:space="preserve">W-04 Azure NL-vereiste, dataresidentie en toegestane services</w:t>
      </w:r>
    </w:p>
    <w:p>
      <w:pPr>
        <w:numPr>
          <w:ilvl w:val="0"/>
          <w:numId w:val="8"/>
        </w:numPr>
        <w:spacing w:lineRule="auto"/>
      </w:pPr>
      <w:r>
        <w:rPr/>
        <w:t xml:space="preserve">Vraag (SMART): Bevestig binnen 5 werkdagen: (a) verplichte landingzone in Azure Netherlands Region(s), (b) toegestane PaaS/SaaS-diensten met mogelijk EU/US dataflows (bijv. Copilot, Defender), (c) vereiste soevereiniteit/maatregelen (bijv. EU Data Boundary), (d) netwerkconnectiviteit (ExpressRoute/VPN) en on-prem peering.</w:t>
      </w:r>
    </w:p>
    <w:p>
      <w:pPr>
        <w:numPr>
          <w:ilvl w:val="0"/>
          <w:numId w:val="8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8"/>
        </w:numPr>
        <w:spacing w:lineRule="auto"/>
      </w:pPr>
      <w:r>
        <w:rPr/>
        <w:t xml:space="preserve">Impact: Architectuurkeuzes, compliance (AVG), kosten en performance.</w:t>
      </w:r>
    </w:p>
    <w:p>
      <w:pPr>
        <w:numPr>
          <w:ilvl w:val="0"/>
          <w:numId w:val="8"/>
        </w:numPr>
        <w:spacing w:lineRule="auto"/>
      </w:pPr>
      <w:r>
        <w:rPr/>
        <w:t xml:space="preserve">Afhankelijkheden: Security en DPIA (W-07).</w:t>
      </w:r>
    </w:p>
    <w:p>
      <w:pPr>
        <w:numPr>
          <w:ilvl w:val="0"/>
          <w:numId w:val="8"/>
        </w:numPr>
        <w:spacing w:lineRule="auto"/>
      </w:pPr>
      <w:r>
        <w:rPr/>
        <w:t xml:space="preserve">KPI-koppeling: KPI-C Compliance (0 datalocatie-afwijkingen).</w:t>
      </w:r>
    </w:p>
    <w:p>
      <w:pPr>
        <w:numPr>
          <w:ilvl w:val="0"/>
          <w:numId w:val="8"/>
        </w:numPr>
        <w:spacing w:lineRule="auto"/>
      </w:pPr>
      <w:r>
        <w:rPr/>
        <w:t xml:space="preserve">Risico: R-DP Data-export buiten EU.</w:t>
      </w:r>
    </w:p>
    <w:p>
      <w:pPr>
        <w:numPr>
          <w:ilvl w:val="0"/>
          <w:numId w:val="8"/>
        </w:numPr>
        <w:spacing w:lineRule="auto"/>
      </w:pPr>
      <w:r>
        <w:rPr/>
        <w:t xml:space="preserve">Bewijs: Architectuurdiagrammen + datastromenregister.</w:t>
      </w:r>
    </w:p>
    <w:p>
      <w:pPr>
        <w:numPr>
          <w:ilvl w:val="0"/>
          <w:numId w:val="8"/>
        </w:numPr>
        <w:spacing w:lineRule="auto"/>
      </w:pPr>
      <w:r>
        <w:rPr/>
        <w:t xml:space="preserve">PDCA: P: ontwerp en DPIA; D: implementatie landingzone; C: datalocatie-audit; A: service toggles/geo-restricties.</w:t>
      </w:r>
    </w:p>
    <w:p>
      <w:pPr>
        <w:numPr>
          <w:ilvl w:val="0"/>
          <w:numId w:val="9"/>
        </w:numPr>
        <w:spacing w:lineRule="auto"/>
      </w:pPr>
      <w:r>
        <w:rPr/>
        <w:t xml:space="preserve">W-05 24/7 monitoring en support – bereikbaarheid, talen, escalatie</w:t>
      </w:r>
    </w:p>
    <w:p>
      <w:pPr>
        <w:numPr>
          <w:ilvl w:val="0"/>
          <w:numId w:val="10"/>
        </w:numPr>
        <w:spacing w:lineRule="auto"/>
      </w:pPr>
      <w:r>
        <w:rPr/>
        <w:t xml:space="preserve">Vraag (SMART): Bevestig binnen 5 werkdagen: (a) talen (NL/EN) verplicht, (b) kanaalvereisten (telefoon, portaal, e-mail), (c) prioriteringsschema P1–P4 met voorbeeldcases, (d) verplichte on-site responstijd ja/nee en waar, (e) geëiste SIEM/NOC-tooling en integraties.</w:t>
      </w:r>
    </w:p>
    <w:p>
      <w:pPr>
        <w:numPr>
          <w:ilvl w:val="0"/>
          <w:numId w:val="10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0"/>
        </w:numPr>
        <w:spacing w:lineRule="auto"/>
      </w:pPr>
      <w:r>
        <w:rPr/>
        <w:t xml:space="preserve">Impact: Staffing, toolinglicenties en SLA-performance.</w:t>
      </w:r>
    </w:p>
    <w:p>
      <w:pPr>
        <w:numPr>
          <w:ilvl w:val="0"/>
          <w:numId w:val="10"/>
        </w:numPr>
        <w:spacing w:lineRule="auto"/>
      </w:pPr>
      <w:r>
        <w:rPr/>
        <w:t xml:space="preserve">Afhankelijkheden: SLA-definities (W-03).</w:t>
      </w:r>
    </w:p>
    <w:p>
      <w:pPr>
        <w:numPr>
          <w:ilvl w:val="0"/>
          <w:numId w:val="10"/>
        </w:numPr>
        <w:spacing w:lineRule="auto"/>
      </w:pPr>
      <w:r>
        <w:rPr/>
        <w:t xml:space="preserve">KPI-koppeling: KPI-CSAT ≥8,0; KPI-MTTD ≤15 min; KPI-MTTR conform P1–P4.</w:t>
      </w:r>
    </w:p>
    <w:p>
      <w:pPr>
        <w:numPr>
          <w:ilvl w:val="0"/>
          <w:numId w:val="10"/>
        </w:numPr>
        <w:spacing w:lineRule="auto"/>
      </w:pPr>
      <w:r>
        <w:rPr/>
        <w:t xml:space="preserve">Risico: R-OPS Onderbezetting nachtdienst.</w:t>
      </w:r>
    </w:p>
    <w:p>
      <w:pPr>
        <w:numPr>
          <w:ilvl w:val="0"/>
          <w:numId w:val="10"/>
        </w:numPr>
        <w:spacing w:lineRule="auto"/>
      </w:pPr>
      <w:r>
        <w:rPr/>
        <w:t xml:space="preserve">Bewijs: Roosterplan, escalation map en toolinglijst met integraties.</w:t>
      </w:r>
    </w:p>
    <w:p>
      <w:pPr>
        <w:numPr>
          <w:ilvl w:val="0"/>
          <w:numId w:val="10"/>
        </w:numPr>
        <w:spacing w:lineRule="auto"/>
      </w:pPr>
      <w:r>
        <w:rPr/>
        <w:t xml:space="preserve">PDCA: P: capaciteitsplan; D: on-call rotas; C: OLA/SLA reviews; A: bijschalen/automatiseren.</w:t>
      </w:r>
    </w:p>
    <w:p>
      <w:pPr>
        <w:numPr>
          <w:ilvl w:val="0"/>
          <w:numId w:val="11"/>
        </w:numPr>
        <w:spacing w:lineRule="auto"/>
      </w:pPr>
      <w:r>
        <w:rPr/>
        <w:t xml:space="preserve">W-06 Onderhoudsvensters en change management</w:t>
      </w:r>
    </w:p>
    <w:p>
      <w:pPr>
        <w:numPr>
          <w:ilvl w:val="0"/>
          <w:numId w:val="12"/>
        </w:numPr>
        <w:spacing w:lineRule="auto"/>
      </w:pPr>
      <w:r>
        <w:rPr/>
        <w:t xml:space="preserve">Vraag (SMART): Bevestig binnen 5 werkdagen: (a) onderhoudsvensters (frequentie, tijden, aankondigingstermijn), (b) exemptions van beschikbaarheids-KPI tijdens approved windows, (c) CAB/ECAB-proces en autorisaties, (d) minimaal 2 onderhoudsmomenten per jaar – gewenste spreiding/kalender.</w:t>
      </w:r>
    </w:p>
    <w:p>
      <w:pPr>
        <w:numPr>
          <w:ilvl w:val="0"/>
          <w:numId w:val="12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12"/>
        </w:numPr>
        <w:spacing w:lineRule="auto"/>
      </w:pPr>
      <w:r>
        <w:rPr/>
        <w:t xml:space="preserve">Impact: Beschikbaarheid en change doorlooptijden.</w:t>
      </w:r>
    </w:p>
    <w:p>
      <w:pPr>
        <w:numPr>
          <w:ilvl w:val="0"/>
          <w:numId w:val="12"/>
        </w:numPr>
        <w:spacing w:lineRule="auto"/>
      </w:pPr>
      <w:r>
        <w:rPr/>
        <w:t xml:space="preserve">Afhankelijkheden: SLA-meting (W-03).</w:t>
      </w:r>
    </w:p>
    <w:p>
      <w:pPr>
        <w:numPr>
          <w:ilvl w:val="0"/>
          <w:numId w:val="12"/>
        </w:numPr>
        <w:spacing w:lineRule="auto"/>
      </w:pPr>
      <w:r>
        <w:rPr/>
        <w:t xml:space="preserve">KPI-koppeling: KPI-CHG Succesratio changes ≥98%; KPI-AVA ≥99,8%.</w:t>
      </w:r>
    </w:p>
    <w:p>
      <w:pPr>
        <w:numPr>
          <w:ilvl w:val="0"/>
          <w:numId w:val="12"/>
        </w:numPr>
        <w:spacing w:lineRule="auto"/>
      </w:pPr>
      <w:r>
        <w:rPr/>
        <w:t xml:space="preserve">Risico: R-CHG Productiestoring door onvoldoende venster.</w:t>
      </w:r>
    </w:p>
    <w:p>
      <w:pPr>
        <w:numPr>
          <w:ilvl w:val="0"/>
          <w:numId w:val="12"/>
        </w:numPr>
        <w:spacing w:lineRule="auto"/>
      </w:pPr>
      <w:r>
        <w:rPr/>
        <w:t xml:space="preserve">Bewijs: Change policy + jaaronderhoudskalender.</w:t>
      </w:r>
    </w:p>
    <w:p>
      <w:pPr>
        <w:numPr>
          <w:ilvl w:val="0"/>
          <w:numId w:val="12"/>
        </w:numPr>
        <w:spacing w:lineRule="auto"/>
      </w:pPr>
      <w:r>
        <w:rPr/>
        <w:t xml:space="preserve">PDCA: P: releasekalender; D: uitvoeren met back-out; C: PIR’s; A: optimalisatie release-cadans.</w:t>
      </w:r>
    </w:p>
    <w:p>
      <w:pPr>
        <w:numPr>
          <w:ilvl w:val="0"/>
          <w:numId w:val="13"/>
        </w:numPr>
        <w:spacing w:lineRule="auto"/>
      </w:pPr>
      <w:r>
        <w:rPr/>
        <w:t xml:space="preserve">W-07 Beveiligingsincidenten, rapportage en AVG-compliance</w:t>
      </w:r>
    </w:p>
    <w:p>
      <w:pPr>
        <w:numPr>
          <w:ilvl w:val="0"/>
          <w:numId w:val="14"/>
        </w:numPr>
        <w:spacing w:lineRule="auto"/>
      </w:pPr>
      <w:r>
        <w:rPr/>
        <w:t xml:space="preserve">Vraag (SMART): Bevestig binnen 5 werkdagen: (a) rapportagefrequentie security-incidenten (maandelijks/kwartaal) en inhoud (KRI’s, MITRE-tactieken), (b) 72-uurs meldverplichting datalekken en rollen (FG/CISO), (c) verplichte audits/pen-tests en frequentie, (d) eisen t.a.v. VOG voor onsite/remote medewerkers (reikwijdte en actualiteit).</w:t>
      </w:r>
    </w:p>
    <w:p>
      <w:pPr>
        <w:numPr>
          <w:ilvl w:val="0"/>
          <w:numId w:val="14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4"/>
        </w:numPr>
        <w:spacing w:lineRule="auto"/>
      </w:pPr>
      <w:r>
        <w:rPr/>
        <w:t xml:space="preserve">Impact: Juridische compliance, reputatie en auditlast.</w:t>
      </w:r>
    </w:p>
    <w:p>
      <w:pPr>
        <w:numPr>
          <w:ilvl w:val="0"/>
          <w:numId w:val="14"/>
        </w:numPr>
        <w:spacing w:lineRule="auto"/>
      </w:pPr>
      <w:r>
        <w:rPr/>
        <w:t xml:space="preserve">Afhankelijkheden: Azure services (W-04), supportprocessen (W-05).</w:t>
      </w:r>
    </w:p>
    <w:p>
      <w:pPr>
        <w:numPr>
          <w:ilvl w:val="0"/>
          <w:numId w:val="14"/>
        </w:numPr>
        <w:spacing w:lineRule="auto"/>
      </w:pPr>
      <w:r>
        <w:rPr/>
        <w:t xml:space="preserve">KPI-koppeling: KPI-SI Tijdige melding 100%; KPI-V VOG-dekking 100%.</w:t>
      </w:r>
    </w:p>
    <w:p>
      <w:pPr>
        <w:numPr>
          <w:ilvl w:val="0"/>
          <w:numId w:val="14"/>
        </w:numPr>
        <w:spacing w:lineRule="auto"/>
      </w:pPr>
      <w:r>
        <w:rPr/>
        <w:t xml:space="preserve">Risico: R-AVG Boetes AVG/Autoriteit Persoonsgegevens.</w:t>
      </w:r>
    </w:p>
    <w:p>
      <w:pPr>
        <w:numPr>
          <w:ilvl w:val="0"/>
          <w:numId w:val="14"/>
        </w:numPr>
        <w:spacing w:lineRule="auto"/>
      </w:pPr>
      <w:r>
        <w:rPr/>
        <w:t xml:space="preserve">Bewijs: ISO 27001-certificaat, ISMS-scope, incident runbooks, VOG-registerproces.</w:t>
      </w:r>
    </w:p>
    <w:p>
      <w:pPr>
        <w:numPr>
          <w:ilvl w:val="0"/>
          <w:numId w:val="14"/>
        </w:numPr>
        <w:spacing w:lineRule="auto"/>
      </w:pPr>
      <w:r>
        <w:rPr/>
        <w:t xml:space="preserve">PDCA: P: ISMS-controls; D: SOC-monitoring; C: audit/ISMS review; A: control updates.</w:t>
      </w:r>
    </w:p>
    <w:p>
      <w:pPr>
        <w:numPr>
          <w:ilvl w:val="0"/>
          <w:numId w:val="15"/>
        </w:numPr>
        <w:spacing w:lineRule="auto"/>
      </w:pPr>
      <w:r>
        <w:rPr/>
        <w:t xml:space="preserve">W-08 Prijsvorming, indexatie en EMVI-waardering prijs</w:t>
      </w:r>
    </w:p>
    <w:p>
      <w:pPr>
        <w:numPr>
          <w:ilvl w:val="0"/>
          <w:numId w:val="16"/>
        </w:numPr>
        <w:spacing w:lineRule="auto"/>
      </w:pPr>
      <w:r>
        <w:rPr/>
        <w:t xml:space="preserve">Vraag (SMART): Bevestig binnen 5 werkdagen: (a) prijsvorm (uurtarieven, unit rates, service bundles), (b) indexatieformule en peildata (bijv. CBS DPI), (c) plafondprijzen en meerwerkregeling, (d) waarderingsmethodiek prijs (lineair/relatief), (e) eventuele lumpsum voor transitie-in/out.</w:t>
      </w:r>
    </w:p>
    <w:p>
      <w:pPr>
        <w:numPr>
          <w:ilvl w:val="0"/>
          <w:numId w:val="16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6"/>
        </w:numPr>
        <w:spacing w:lineRule="auto"/>
      </w:pPr>
      <w:r>
        <w:rPr/>
        <w:t xml:space="preserve">Impact: EMVI-strategie en contractrendement.</w:t>
      </w:r>
    </w:p>
    <w:p>
      <w:pPr>
        <w:numPr>
          <w:ilvl w:val="0"/>
          <w:numId w:val="16"/>
        </w:numPr>
        <w:spacing w:lineRule="auto"/>
      </w:pPr>
      <w:r>
        <w:rPr/>
        <w:t xml:space="preserve">Afhankelijkheden: Contractplafond (W-02).</w:t>
      </w:r>
    </w:p>
    <w:p>
      <w:pPr>
        <w:numPr>
          <w:ilvl w:val="0"/>
          <w:numId w:val="16"/>
        </w:numPr>
        <w:spacing w:lineRule="auto"/>
      </w:pPr>
      <w:r>
        <w:rPr/>
        <w:t xml:space="preserve">KPI-koppeling: KPI-TCO ≤ afgesproken plafond; KPI-PO Afwijking ≤5%.</w:t>
      </w:r>
    </w:p>
    <w:p>
      <w:pPr>
        <w:numPr>
          <w:ilvl w:val="0"/>
          <w:numId w:val="16"/>
        </w:numPr>
        <w:spacing w:lineRule="auto"/>
      </w:pPr>
      <w:r>
        <w:rPr/>
        <w:t xml:space="preserve">Risico: R-PRC Onbalans prijs-kwaliteit.</w:t>
      </w:r>
    </w:p>
    <w:p>
      <w:pPr>
        <w:numPr>
          <w:ilvl w:val="0"/>
          <w:numId w:val="16"/>
        </w:numPr>
        <w:spacing w:lineRule="auto"/>
      </w:pPr>
      <w:r>
        <w:rPr/>
        <w:t xml:space="preserve">Bewijs: Prijsbijlage met tarievenmatrix en indexatieclausule.</w:t>
      </w:r>
    </w:p>
    <w:p>
      <w:pPr>
        <w:numPr>
          <w:ilvl w:val="0"/>
          <w:numId w:val="16"/>
        </w:numPr>
        <w:spacing w:lineRule="auto"/>
      </w:pPr>
      <w:r>
        <w:rPr/>
        <w:t xml:space="preserve">PDCA: P: kostencalculatie; D: budgetbewaking; C: variance analysis; A: optimalisatie service mix.</w:t>
      </w:r>
    </w:p>
    <w:p>
      <w:pPr>
        <w:numPr>
          <w:ilvl w:val="0"/>
          <w:numId w:val="17"/>
        </w:numPr>
        <w:spacing w:lineRule="auto"/>
      </w:pPr>
      <w:r>
        <w:rPr/>
        <w:t xml:space="preserve">W-09 EMVI-kwaliteitscriteria en maximale omvang inzending</w:t>
      </w:r>
    </w:p>
    <w:p>
      <w:pPr>
        <w:numPr>
          <w:ilvl w:val="0"/>
          <w:numId w:val="18"/>
        </w:numPr>
        <w:spacing w:lineRule="auto"/>
      </w:pPr>
      <w:r>
        <w:rPr/>
        <w:t xml:space="preserve">Vraag (SMART): Bevestig binnen 5 werkdagen: (a) subcriteria en onderliggende weging binnen Kwaliteit, Duurzaamheid, Risicobeheersing, (b) “what good looks like” per criterium, (c) maximale pagina’s (gegeven 6 p. EMVI) per deel of totaal, (d) toegestane bijlagen (diagrammen, KPI-tabellen), (e) referentie-eisen.</w:t>
      </w:r>
    </w:p>
    <w:p>
      <w:pPr>
        <w:numPr>
          <w:ilvl w:val="0"/>
          <w:numId w:val="18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18"/>
        </w:numPr>
        <w:spacing w:lineRule="auto"/>
      </w:pPr>
      <w:r>
        <w:rPr/>
        <w:t xml:space="preserve">Impact: Focus in PvA en bewijslast.</w:t>
      </w:r>
    </w:p>
    <w:p>
      <w:pPr>
        <w:numPr>
          <w:ilvl w:val="0"/>
          <w:numId w:val="18"/>
        </w:numPr>
        <w:spacing w:lineRule="auto"/>
      </w:pPr>
      <w:r>
        <w:rPr/>
        <w:t xml:space="preserve">Afhankelijkheden: Alle inhoudelijke werkpakketten.</w:t>
      </w:r>
    </w:p>
    <w:p>
      <w:pPr>
        <w:numPr>
          <w:ilvl w:val="0"/>
          <w:numId w:val="18"/>
        </w:numPr>
        <w:spacing w:lineRule="auto"/>
      </w:pPr>
      <w:r>
        <w:rPr/>
        <w:t xml:space="preserve">KPI-koppeling: KPI-EMVI Score ≥ top-3; KPI-ALN 100% naleving indieningseisen.</w:t>
      </w:r>
    </w:p>
    <w:p>
      <w:pPr>
        <w:numPr>
          <w:ilvl w:val="0"/>
          <w:numId w:val="18"/>
        </w:numPr>
        <w:spacing w:lineRule="auto"/>
      </w:pPr>
      <w:r>
        <w:rPr/>
        <w:t xml:space="preserve">Risico: R-EMVI Puntenverlies door vormfouten.</w:t>
      </w:r>
    </w:p>
    <w:p>
      <w:pPr>
        <w:numPr>
          <w:ilvl w:val="0"/>
          <w:numId w:val="18"/>
        </w:numPr>
        <w:spacing w:lineRule="auto"/>
      </w:pPr>
      <w:r>
        <w:rPr/>
        <w:t xml:space="preserve">Bewijs: Inhoudsopgave en conformiteitstabel vóór indiening.</w:t>
      </w:r>
    </w:p>
    <w:p>
      <w:pPr>
        <w:numPr>
          <w:ilvl w:val="0"/>
          <w:numId w:val="18"/>
        </w:numPr>
        <w:spacing w:lineRule="auto"/>
      </w:pPr>
      <w:r>
        <w:rPr/>
        <w:t xml:space="preserve">PDCA: P: outline; D: schrijven; C: red team review; A: finaliseren.</w:t>
      </w:r>
    </w:p>
    <w:p>
      <w:pPr>
        <w:numPr>
          <w:ilvl w:val="0"/>
          <w:numId w:val="19"/>
        </w:numPr>
        <w:spacing w:lineRule="auto"/>
      </w:pPr>
      <w:r>
        <w:rPr/>
        <w:t xml:space="preserve">W-10 Planning: indieningsdeadline, vragenronde, startdatum en transitie</w:t>
      </w:r>
    </w:p>
    <w:p>
      <w:pPr>
        <w:numPr>
          <w:ilvl w:val="0"/>
          <w:numId w:val="20"/>
        </w:numPr>
        <w:spacing w:lineRule="auto"/>
      </w:pPr>
      <w:r>
        <w:rPr/>
        <w:t xml:space="preserve">Vraag (SMART): Bevestig binnen 5 werkdagen: (a) uiterste indieningsdatum/tijd en NvI-rondes, (b) beoogde startdatum en transitie-in/out periode (duur, condities, exit-artefacten), (c) acceptatiecriteria go-live, (d) sleutelcontacten opdrachtgever voor acceptaties.</w:t>
      </w:r>
    </w:p>
    <w:p>
      <w:pPr>
        <w:numPr>
          <w:ilvl w:val="0"/>
          <w:numId w:val="20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20"/>
        </w:numPr>
        <w:spacing w:lineRule="auto"/>
      </w:pPr>
      <w:r>
        <w:rPr/>
        <w:t xml:space="preserve">Impact: Resourceplanning, risicobeheersing en continuïteit.</w:t>
      </w:r>
    </w:p>
    <w:p>
      <w:pPr>
        <w:numPr>
          <w:ilvl w:val="0"/>
          <w:numId w:val="20"/>
        </w:numPr>
        <w:spacing w:lineRule="auto"/>
      </w:pPr>
      <w:r>
        <w:rPr/>
        <w:t xml:space="preserve">Afhankelijkheden: Alle operationele werkpakketten.</w:t>
      </w:r>
    </w:p>
    <w:p>
      <w:pPr>
        <w:numPr>
          <w:ilvl w:val="0"/>
          <w:numId w:val="20"/>
        </w:numPr>
        <w:spacing w:lineRule="auto"/>
      </w:pPr>
      <w:r>
        <w:rPr/>
        <w:t xml:space="preserve">KPI-koppeling: KPI-TRN Tijdige transitie 100%; KPI-ACPT Eerste keer goed ≥95%.</w:t>
      </w:r>
    </w:p>
    <w:p>
      <w:pPr>
        <w:numPr>
          <w:ilvl w:val="0"/>
          <w:numId w:val="20"/>
        </w:numPr>
        <w:spacing w:lineRule="auto"/>
      </w:pPr>
      <w:r>
        <w:rPr/>
        <w:t xml:space="preserve">Risico: R-TRN Verlengde parallel-run en dubbele kosten.</w:t>
      </w:r>
    </w:p>
    <w:p>
      <w:pPr>
        <w:numPr>
          <w:ilvl w:val="0"/>
          <w:numId w:val="20"/>
        </w:numPr>
        <w:spacing w:lineRule="auto"/>
      </w:pPr>
      <w:r>
        <w:rPr/>
        <w:t xml:space="preserve">Bewijs: Transitieplan met mijlpalen en RACI.</w:t>
      </w:r>
    </w:p>
    <w:p>
      <w:pPr>
        <w:numPr>
          <w:ilvl w:val="0"/>
          <w:numId w:val="20"/>
        </w:numPr>
        <w:spacing w:lineRule="auto"/>
      </w:pPr>
      <w:r>
        <w:rPr/>
        <w:t xml:space="preserve">PDCA: P: detailplanning (Gantt); D: wekelijkse stand-ups; C: mijlpaalreviews; A: lessons learned en overdracht BAU.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1"/>
        </w:numPr>
        <w:spacing w:lineRule="auto"/>
      </w:pPr>
      <w:r>
        <w:rPr/>
        <w:t xml:space="preserve">Antwoord op W-01: bevestiging juiste scope, opdrachtgever, referentienummer en volledige set actuele aanbestedingsdocumenten.</w:t>
      </w:r>
    </w:p>
    <w:p>
      <w:pPr>
        <w:numPr>
          <w:ilvl w:val="0"/>
          <w:numId w:val="21"/>
        </w:numPr>
        <w:spacing w:lineRule="auto"/>
      </w:pPr>
      <w:r>
        <w:rPr/>
        <w:t xml:space="preserve">Antwoord op W-02: contractduur, plafondwaarde, afnameverplichting, perceelindeling en minicompetities.</w:t>
      </w:r>
    </w:p>
    <w:p>
      <w:pPr>
        <w:numPr>
          <w:ilvl w:val="0"/>
          <w:numId w:val="21"/>
        </w:numPr>
        <w:spacing w:lineRule="auto"/>
      </w:pPr>
      <w:r>
        <w:rPr/>
        <w:t xml:space="preserve">Antwoord op W-03: formele definities/meetmethode van responstijd, oplostijd, beschikbaarheid en bijbehorende boete-/bonusregeling.</w:t>
      </w:r>
    </w:p>
    <w:p>
      <w:pPr>
        <w:numPr>
          <w:ilvl w:val="0"/>
          <w:numId w:val="21"/>
        </w:numPr>
        <w:spacing w:lineRule="auto"/>
      </w:pPr>
      <w:r>
        <w:rPr/>
        <w:t xml:space="preserve">Antwoord op W-04: Azure NL-vereisten, toegestane services t.b.v. dataresidentie/soevereiniteit en netwerkconnectiviteit.</w:t>
      </w:r>
    </w:p>
    <w:p>
      <w:pPr>
        <w:numPr>
          <w:ilvl w:val="0"/>
          <w:numId w:val="21"/>
        </w:numPr>
        <w:spacing w:lineRule="auto"/>
      </w:pPr>
      <w:r>
        <w:rPr/>
        <w:t xml:space="preserve">Antwoord op W-05: 24/7 supportkaders (talen, kanalen, prioriteiten), on-site vereisten en verplichte monitoring/SIEM-tooling.</w:t>
      </w:r>
    </w:p>
    <w:p>
      <w:pPr>
        <w:numPr>
          <w:ilvl w:val="0"/>
          <w:numId w:val="21"/>
        </w:numPr>
        <w:spacing w:lineRule="auto"/>
      </w:pPr>
      <w:r>
        <w:rPr/>
        <w:t xml:space="preserve">Antwoord op W-06: onderhoudsvensters, uitzonderingen op KPI’s, CAB/ECAB-proces en jaaronderhoudskalender.</w:t>
      </w:r>
    </w:p>
    <w:p>
      <w:pPr>
        <w:numPr>
          <w:ilvl w:val="0"/>
          <w:numId w:val="21"/>
        </w:numPr>
        <w:spacing w:lineRule="auto"/>
      </w:pPr>
      <w:r>
        <w:rPr/>
        <w:t xml:space="preserve">Antwoord op W-07: security-rapportagefrequentie en inhoud, AVG-meldproces (72 uur), audit-/pen-testvereisten en VOG-reikwijdte.</w:t>
      </w:r>
    </w:p>
    <w:p>
      <w:pPr>
        <w:numPr>
          <w:ilvl w:val="0"/>
          <w:numId w:val="21"/>
        </w:numPr>
        <w:spacing w:lineRule="auto"/>
      </w:pPr>
      <w:r>
        <w:rPr/>
        <w:t xml:space="preserve">Antwoord op W-08: prijsvorm, indexatie, plafond/meerwerk, waardering prijs en lumpsum voor transitie.</w:t>
      </w:r>
    </w:p>
    <w:p>
      <w:pPr>
        <w:numPr>
          <w:ilvl w:val="0"/>
          <w:numId w:val="21"/>
        </w:numPr>
        <w:spacing w:lineRule="auto"/>
      </w:pPr>
      <w:r>
        <w:rPr/>
        <w:t xml:space="preserve">Antwoord op W-09: EMVI-subcriteria/weging, “what good looks like”, pagina- en bijlagenrestricties, referentie-eisen.</w:t>
      </w:r>
    </w:p>
    <w:p>
      <w:pPr>
        <w:numPr>
          <w:ilvl w:val="0"/>
          <w:numId w:val="21"/>
        </w:numPr>
        <w:spacing w:lineRule="auto"/>
      </w:pPr>
      <w:r>
        <w:rPr/>
        <w:t xml:space="preserve">Antwoord op W-10: indieningsdeadline, NvI-kalender, start- en transitiedata, acceptatiecriteria en contactrollen.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van Inlichtingen — Clarificaties</dc:title>
  <dc:subject/>
  <dc:creator>html-to-docx</dc:creator>
  <cp:keywords>html-to-docx</cp:keywords>
  <dc:description/>
  <cp:lastModifiedBy>html-to-docx</cp:lastModifiedBy>
  <cp:revision>1</cp:revision>
  <dcterms:created xsi:type="dcterms:W3CDTF">2025-11-05T14:08:25.773Z</dcterms:created>
  <dcterms:modified xsi:type="dcterms:W3CDTF">2025-11-05T14:08:25.773Z</dcterms:modified>
</cp:coreProperties>
</file>