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Compliance Matrix (UEA / KO / REQ)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Context en aanpak</w:t>
      </w:r>
    </w:p>
    <w:p>
      <w:pPr>
        <w:numPr>
          <w:ilvl w:val="0"/>
          <w:numId w:val="1"/>
        </w:numPr>
        <w:spacing w:lineRule="auto"/>
      </w:pPr>
      <w:r>
        <w:rPr/>
        <w:t xml:space="preserve">Werkpakketten (W-xx): W-01 Servicedesk &amp; 24/7 Monitoring; W-02 Incident- &amp; Problemmanagement; W-03 Change &amp; Maintenance; W-04 Security &amp; Compliance (incl. VOG); W-05 Azure Platform NL &amp; Continuïteit; W-06 Rapportage, KPI &amp; Governance; W-07 Onboarding &amp; Documentatie.</w:t>
      </w:r>
    </w:p>
    <w:p>
      <w:pPr>
        <w:numPr>
          <w:ilvl w:val="0"/>
          <w:numId w:val="1"/>
        </w:numPr>
        <w:spacing w:lineRule="auto"/>
      </w:pPr>
      <w:r>
        <w:rPr/>
        <w:t xml:space="preserve">KPI’s: K-01 Beschikbaarheid ≥99,8%; K-02 Responstijd ≤1 uur; K-03 Oplostijd P1 ≤4 uur; K-04 Security-incidenten: melding binnen 24 uur bij P1 en maandrapportage; K-05 Onderhoudsvensters ≥2 per jaar; K-06 24/7 coverage 100%; K-07 Rapportagetijdigheid 100% binnen 5 werkdagen na maandafsluiting.</w:t>
      </w:r>
    </w:p>
    <w:p>
      <w:pPr>
        <w:numPr>
          <w:ilvl w:val="0"/>
          <w:numId w:val="1"/>
        </w:numPr>
        <w:spacing w:lineRule="auto"/>
      </w:pPr>
      <w:r>
        <w:rPr/>
        <w:t xml:space="preserve">Toprisico’s: R-01 Monitoring-gap; R-02 SLA-overschrijding; R-03 Datalocatie/region-wijziging; R-04 Onvoldoende personele screening; R-05 Change-gerelateerde verstoring; R-06 Onvolledige security-rapportage.</w:t>
      </w:r>
    </w:p>
    <w:p>
      <w:pPr>
        <w:spacing w:lineRule="auto"/>
      </w:pPr>
      <w:r>
        <w:rPr/>
        <w:t xml:space="preserve">Compliance-matrix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Voldoening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Toelichting/Bewijs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Uitsluitingsgronden niet van toepassing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UEA door directie ondertekend. Do: indiening met inschrijving. Check: juridische check door inkoop. Act: actualiseren bij wijzigingen. Bewijs: ingevuld en ondertekend UEA.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 UEA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Betalingsverplichtingen (Belastingdienst/SVB) nagekomen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periodieke controle fiscaliteit. Do: actuele verklaring betalingsgedrag. Check: jaarcontrole finance. Act: corrigerende acties bij afwijking. Bewijs: verklaring Belastingdienst.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 Belastingverklaring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Inschrijving beroepsregister (KvK)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KvK-registratie actueel. Do: uittreksel aanleveren. Check: jaarlijkse hercontrole. Act: direct bijwerken bij organisatie-wijziging. Bewijs: KvK 27172538 Uno Automatiseringsdiensten B.V.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 KvK-uittreksel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BTW-registratie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correcte BTW-administratie. Do: opgave BTW-nummer. Check: audit finance. Act: bijsturen bij auditbevindingen. Bewijs: NL8070.79.266.B01.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A4 BTW-registratie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Financiële draagkracht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solvabiliteit bewaken. Do: aanleveren jaarrekening 2023/2024. Check: ratio-analyse. Act: maatregelen bij risico’s. Bewijs: gecontroleerde jaarrekening.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 Jaarrekening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Verzekeringen (AVB/BAV/Cyber)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polissen en dekkingen borgen. Do: polisbladen aanleveren. Check: jaarlijkse hernieuwing. Act: dekkingsgap sluiten. Bewijs: geldige polissen.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 Verzekeringen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UEA: Bevoegdheid ondertekening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volmachten register. Do: ondertekend door bevoegd bestuurder. Check: verificatie met KvK. Act: volmacht updaten. Bewijs: volmacht/board resolution.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 Bevoegdheid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27001 (geldig certificaat)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ISMS scope cloud/infrastructuur. Do: uitvoering controls A.5–A.18. Check: jaarlijkse audit en surveillances. Act: CAPA op auditbevindingen. W-04; KPI: K-04; Risico: R-06. Bewijs: certificaat door geaccrediteerde certificerende instelling.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 ISO 27001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Personeel beschikt over VOG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HR-screeningsbeleid. Do: VOG vereist vóór toegang. Check: jaarlijkse steekproef/expiries. Act: toegang intrekken en her-screenen. W-04; Risico: R-04. Bewijs: VOG-overzicht en kopieën op dossier.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B3 VOG-overzicht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SLA-responstijd ≤ 1 uur bij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SLA &amp; escalatiematrix. Do: 24/7 triage via NOC/servicedesk. Check: maandelijks rapport K-02. Act: problemmanagement en verbeteracties. W-01/W-02; KPI: K-02; Risico: R-02. Bewijs: SLA/runbook en KPI-rapport.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 SLA; B9 KPI-rapport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monitoring en support beschikbaar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24/7 rooster en dekking. Do: monitoring SIEM/NOC tooling; on-call. Check: dekking en MTTR K-06/K-03. Act: capaciteitsplanning en training. W-01; KPI: K-06; Risico: R-01. Bewijs: monitoring-architectuur en rooster.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B5 Monitoring; B4 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Beschikbaarheid ≥ 99,8%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HA-architectuur (AZ), SLO’s. Do: redundantie en auto-heal. Check: uptime-rapport K-01. Act: verbeterplan bij &lt;99,8%. W-05; KPI: K-01; Risico: R-02/R-05. Bewijs: maandrapport uptime.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B9 KPI-rapport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Minimaal 2 onderhoudsmomenten per jaar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jaarplan changes/CAB. Do: uitvoeren binnen vensters met rollback. Check: change-registraties en evaluaties. Act: lessons learned. W-03; KPI: K-05; Risico: R-05. Bewijs: jaarplan onderhoud en CAB-notulen.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B7 Jaarplan; B9 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Gebruik van Microsoft Azure (NL datacenters)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policy ‘location = West Europe (NL)’. Do: deploy in Azure West Europe met AZ’s. Check: Azure Policy compliance-rapport. Act: remediatie bij drift. W-05; Risico: R-03. Bewijs: datalocatieverklaring en compliance-scan.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B6 Azure-locatie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Periodieke rapportage over beveiligingsincidenten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maandcadans + P1 binnen 24u. Do: SOC-registratie en rapportage. Check: K-04/K-07 op tijdigheid en volledigheid. Act: verbetermaatregelen. W-04/W-06; Risico: R-06. Bewijs: template + voorbeeldrapport.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B8 Sec-rapport; B9 KPI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Oplostijd ≤ 4 uur voor kritische incidenten (P1)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prioritering en runbooks. Do: SWAT-escalatie en vendor engagement. Check: K-03 MTTR. Act: RCA en blijvende fixes. W-02; KPI: K-03; Risico: R-02. Bewijs: SLA/runbook + rapportage.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 SLA; B9 KPI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 (PvA)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scope, planning, governance, PDCA. Do: uitvoering conform PvA. Check: voortgangsrapportage. Act: bijsturen via stuurgroep. W-06/W-07. Bewijs: PvA document.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D1 PvA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register R-01…R-06 met eigenaars. Do: mitigaties uitvoeren. Check: maandelijkse risk review. Act: herprioriteren/mitigeren. W-06. Bewijs: actueel risicoregister.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D2 Risicodossier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definities K-01…K-07, meetmethodiek. Do: data verzamelen en publiceren. Check: validatie en trendanalyse. Act: CSI-roadmap. W-06. Bewijs: KPI-catalogus.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 KPI-overzicht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maanden garantie op dienstverlening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garantievoorwaarden opnemen. Do: herstel zonder meerkosten binnen garantie. Check: klanttevredenheid en herhaalincidenten. Act: structurele verbeteringen. Bewijs: paragraaf garantie in SLA/overeenkomst.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 SLA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SMART-borging en PDCA-samenvatting</w:t>
      </w:r>
    </w:p>
    <w:p>
      <w:pPr>
        <w:numPr>
          <w:ilvl w:val="0"/>
          <w:numId w:val="2"/>
        </w:numPr>
        <w:spacing w:lineRule="auto"/>
      </w:pPr>
      <w:r>
        <w:rPr/>
        <w:t xml:space="preserve">Beschikbaarheid: K-01 ≥99,8% per kalendermaand gemeten via onafhankelijke monitoring; maandrapport vóór de 5e werkdag (K-07); bij &lt;99,8% een RCA binnen 5 werkdagen en verbeteractie binnen 30 dagen (PDCA).</w:t>
      </w:r>
    </w:p>
    <w:p>
      <w:pPr>
        <w:numPr>
          <w:ilvl w:val="0"/>
          <w:numId w:val="2"/>
        </w:numPr>
        <w:spacing w:lineRule="auto"/>
      </w:pPr>
      <w:r>
        <w:rPr/>
        <w:t xml:space="preserve">Responstijd: K-02 ≤60 minuten voor alle P1/P2 meldingen, 24/7 gedekt; steekproefsgewijs gecontroleerd per maand; bij overschrijding training en capaciteitsaanpassing (PDCA).</w:t>
      </w:r>
    </w:p>
    <w:p>
      <w:pPr>
        <w:numPr>
          <w:ilvl w:val="0"/>
          <w:numId w:val="2"/>
        </w:numPr>
        <w:spacing w:lineRule="auto"/>
      </w:pPr>
      <w:r>
        <w:rPr/>
        <w:t xml:space="preserve">Oplostijd P1: K-03 ≤4 uur; bij overschrijding CAB-review en runbook-update binnen 10 werkdagen.</w:t>
      </w:r>
    </w:p>
    <w:p>
      <w:pPr>
        <w:numPr>
          <w:ilvl w:val="0"/>
          <w:numId w:val="2"/>
        </w:numPr>
        <w:spacing w:lineRule="auto"/>
      </w:pPr>
      <w:r>
        <w:rPr/>
        <w:t xml:space="preserve">Security-rapportage: K-04 P1-melding binnen 24 uur; maandelijkse overzichtsrapportage inclusief trends; verbeteracties bijgehouden in risicodossier (R-06).</w:t>
      </w:r>
    </w:p>
    <w:p>
      <w:pPr>
        <w:numPr>
          <w:ilvl w:val="0"/>
          <w:numId w:val="2"/>
        </w:numPr>
        <w:spacing w:lineRule="auto"/>
      </w:pPr>
      <w:r>
        <w:rPr/>
        <w:t xml:space="preserve">Onderhoud: K-05 ≥2 geplande vensters per jaar; communicatie ≥10 werkdagen vooraf; post-change evaluatie binnen 5 werkdagen.</w:t>
      </w:r>
    </w:p>
    <w:p>
      <w:pPr>
        <w:numPr>
          <w:ilvl w:val="0"/>
          <w:numId w:val="2"/>
        </w:numPr>
        <w:spacing w:lineRule="auto"/>
      </w:pPr>
      <w:r>
        <w:rPr/>
        <w:t xml:space="preserve">24/7 dekking: K-06 100% bezetting; fallback-rooster en management-alerting.</w:t>
      </w:r>
    </w:p>
    <w:p>
      <w:pPr>
        <w:spacing w:lineRule="auto"/>
      </w:pPr>
      <w:r>
        <w:rPr/>
        <w:t xml:space="preserve">Bijlagenregister</w:t>
      </w:r>
    </w:p>
    <w:p>
      <w:pPr>
        <w:numPr>
          <w:ilvl w:val="0"/>
          <w:numId w:val="3"/>
        </w:numPr>
        <w:spacing w:lineRule="auto"/>
      </w:pPr>
      <w:r>
        <w:rPr/>
        <w:t xml:space="preserve">A1 UEA; A2 KvK-uittreksel (KvK 27172538); A3 Verklaring betalingsgedrag Belastingdienst; A4 BTW-registratie; A5 Jaarrekening 2023/2024; A6 Verzekeringspolissen (AVB/BAV/Cyber); A7 Bevoegdheidsverklaring.</w:t>
      </w:r>
    </w:p>
    <w:p>
      <w:pPr>
        <w:numPr>
          <w:ilvl w:val="0"/>
          <w:numId w:val="3"/>
        </w:numPr>
        <w:spacing w:lineRule="auto"/>
      </w:pPr>
      <w:r>
        <w:rPr/>
        <w:t xml:space="preserve">B1 ISO 27001-certificaat; B2 ISO 9001-certificaat; B3 VOG-overzicht personeel; B4 SLA &amp; Runbook; B5 Monitoring-architectuur en 24/7 rooster; B6 Azure datalocatieverklaring (West Europe NL) en Policy-rapport; B7 Jaarplan onderhoud &amp; CAB; B8 Security-incident rapportagetemplate + voorbeeld; B9 KPI-rapportageformat + voorbeeld.</w:t>
      </w:r>
    </w:p>
    <w:p>
      <w:pPr>
        <w:numPr>
          <w:ilvl w:val="0"/>
          <w:numId w:val="3"/>
        </w:numPr>
        <w:spacing w:lineRule="auto"/>
      </w:pPr>
      <w:r>
        <w:rPr/>
        <w:t xml:space="preserve">D1 Plan van Aanpak; D2 Risicodossier; D3 KPI-overzicht.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4"/>
        </w:numPr>
        <w:spacing w:lineRule="auto"/>
      </w:pPr>
      <w:r>
        <w:rPr/>
        <w:t xml:space="preserve">Ondertekend UEA (A1) en bevoegdenverklaring/volmacht (A7).</w:t>
      </w:r>
    </w:p>
    <w:p>
      <w:pPr>
        <w:numPr>
          <w:ilvl w:val="0"/>
          <w:numId w:val="4"/>
        </w:numPr>
        <w:spacing w:lineRule="auto"/>
      </w:pPr>
      <w:r>
        <w:rPr/>
        <w:t xml:space="preserve">Actueel KvK-uittreksel (A2) en BTW-registratiebewijs (A4).</w:t>
      </w:r>
    </w:p>
    <w:p>
      <w:pPr>
        <w:numPr>
          <w:ilvl w:val="0"/>
          <w:numId w:val="4"/>
        </w:numPr>
        <w:spacing w:lineRule="auto"/>
      </w:pPr>
      <w:r>
        <w:rPr/>
        <w:t xml:space="preserve">Verklaring betalingsgedrag Belastingdienst (A3).</w:t>
      </w:r>
    </w:p>
    <w:p>
      <w:pPr>
        <w:numPr>
          <w:ilvl w:val="0"/>
          <w:numId w:val="4"/>
        </w:numPr>
        <w:spacing w:lineRule="auto"/>
      </w:pPr>
      <w:r>
        <w:rPr/>
        <w:t xml:space="preserve">Jaarrekening 2023/2024 (A5).</w:t>
      </w:r>
    </w:p>
    <w:p>
      <w:pPr>
        <w:numPr>
          <w:ilvl w:val="0"/>
          <w:numId w:val="4"/>
        </w:numPr>
        <w:spacing w:lineRule="auto"/>
      </w:pPr>
      <w:r>
        <w:rPr/>
        <w:t xml:space="preserve">Polisbladen AVB/BAV/Cyber (A6).</w:t>
      </w:r>
    </w:p>
    <w:p>
      <w:pPr>
        <w:numPr>
          <w:ilvl w:val="0"/>
          <w:numId w:val="4"/>
        </w:numPr>
        <w:spacing w:lineRule="auto"/>
      </w:pPr>
      <w:r>
        <w:rPr/>
        <w:t xml:space="preserve">ISO 27001- en ISO 9001-certificaten (B1, B2).</w:t>
      </w:r>
    </w:p>
    <w:p>
      <w:pPr>
        <w:numPr>
          <w:ilvl w:val="0"/>
          <w:numId w:val="4"/>
        </w:numPr>
        <w:spacing w:lineRule="auto"/>
      </w:pPr>
      <w:r>
        <w:rPr/>
        <w:t xml:space="preserve">VOG-overzicht en VOG-kopieën per betrokken medewerker (B3).</w:t>
      </w:r>
    </w:p>
    <w:p>
      <w:pPr>
        <w:numPr>
          <w:ilvl w:val="0"/>
          <w:numId w:val="4"/>
        </w:numPr>
        <w:spacing w:lineRule="auto"/>
      </w:pPr>
      <w:r>
        <w:rPr/>
        <w:t xml:space="preserve">SLA &amp; Runbook incl. escalatiematrix en P1/P2-definities (B4).</w:t>
      </w:r>
    </w:p>
    <w:p>
      <w:pPr>
        <w:numPr>
          <w:ilvl w:val="0"/>
          <w:numId w:val="4"/>
        </w:numPr>
        <w:spacing w:lineRule="auto"/>
      </w:pPr>
      <w:r>
        <w:rPr/>
        <w:t xml:space="preserve">Monitoring-architectuur en 24/7 dienstrooster (B5).</w:t>
      </w:r>
    </w:p>
    <w:p>
      <w:pPr>
        <w:numPr>
          <w:ilvl w:val="0"/>
          <w:numId w:val="4"/>
        </w:numPr>
        <w:spacing w:lineRule="auto"/>
      </w:pPr>
      <w:r>
        <w:rPr/>
        <w:t xml:space="preserve">Azure datalocatieverklaring en Azure Policy compliance-rapport (B6).</w:t>
      </w:r>
    </w:p>
    <w:p>
      <w:pPr>
        <w:numPr>
          <w:ilvl w:val="0"/>
          <w:numId w:val="4"/>
        </w:numPr>
        <w:spacing w:lineRule="auto"/>
      </w:pPr>
      <w:r>
        <w:rPr/>
        <w:t xml:space="preserve">Jaarplan onderhoud en CAB-proces (B7).</w:t>
      </w:r>
    </w:p>
    <w:p>
      <w:pPr>
        <w:numPr>
          <w:ilvl w:val="0"/>
          <w:numId w:val="4"/>
        </w:numPr>
        <w:spacing w:lineRule="auto"/>
      </w:pPr>
      <w:r>
        <w:rPr/>
        <w:t xml:space="preserve">Security-incident rapportagetemplate + geanonimiseerd voorbeeld (B8).</w:t>
      </w:r>
    </w:p>
    <w:p>
      <w:pPr>
        <w:numPr>
          <w:ilvl w:val="0"/>
          <w:numId w:val="4"/>
        </w:numPr>
        <w:spacing w:lineRule="auto"/>
      </w:pPr>
      <w:r>
        <w:rPr/>
        <w:t xml:space="preserve">KPI-rapportageformat + geanonimiseerd maandrapport (B9).</w:t>
      </w:r>
    </w:p>
    <w:p>
      <w:pPr>
        <w:numPr>
          <w:ilvl w:val="0"/>
          <w:numId w:val="4"/>
        </w:numPr>
        <w:spacing w:lineRule="auto"/>
      </w:pPr>
      <w:r>
        <w:rPr/>
        <w:t xml:space="preserve">Plan van Aanpak, Risicodossier en KPI-overzicht (D1–D3).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Matrix (UEA / KO / REQ)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