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</w:t>
      </w:r>
    </w:p>
    <w:p>
      <w:pPr>
        <w:spacing w:lineRule="auto"/>
      </w:pPr>
      <w:r>
        <w:rPr/>
        <w:t xml:space="preserve">Doel</w:t>
      </w:r>
    </w:p>
    <w:p>
      <w:pPr>
        <w:numPr>
          <w:ilvl w:val="0"/>
          <w:numId w:val="1"/>
        </w:numPr>
        <w:spacing w:lineRule="auto"/>
      </w:pPr>
      <w:r>
        <w:rPr/>
        <w:t xml:space="preserve">Biedt in één document een compacte wegwijzer voor de tender “Raamovereenkomst Catering- en Horecadiensten voor Gemeente Middenstad” (opdrachtgever: NVAO), EMVI-beoordeling.</w:t>
      </w:r>
    </w:p>
    <w:p>
      <w:pPr>
        <w:numPr>
          <w:ilvl w:val="0"/>
          <w:numId w:val="1"/>
        </w:numPr>
        <w:spacing w:lineRule="auto"/>
      </w:pPr>
      <w:r>
        <w:rPr/>
        <w:t xml:space="preserve">Borgt dat knock-outs en must-eisen traceerbaar zijn naar aanpak (W-xx), KPI’s, risico’s en bewijs.</w:t>
      </w:r>
    </w:p>
    <w:p>
      <w:pPr>
        <w:numPr>
          <w:ilvl w:val="0"/>
          <w:numId w:val="1"/>
        </w:numPr>
        <w:spacing w:lineRule="auto"/>
      </w:pPr>
      <w:r>
        <w:rPr/>
        <w:t xml:space="preserve">Leestijd: 8–10 minuten. Resultaat: binnen 1 werkdag volledige controle op scope, eisen en onderlinge samenhang.</w:t>
      </w:r>
    </w:p>
    <w:p>
      <w:pPr>
        <w:spacing w:lineRule="auto"/>
      </w:pPr>
      <w:r>
        <w:rPr/>
        <w:t xml:space="preserve">Inhoud van de bundel</w:t>
      </w:r>
    </w:p>
    <w:p>
      <w:pPr>
        <w:numPr>
          <w:ilvl w:val="0"/>
          <w:numId w:val="2"/>
        </w:numPr>
        <w:spacing w:lineRule="auto"/>
      </w:pPr>
      <w:r>
        <w:rPr/>
        <w:t xml:space="preserve">Plan van Aanpak: werkpakketten (W-xx), processen, rollen, escalaties, planning en borging van must-eisen en SLA’s.</w:t>
      </w:r>
    </w:p>
    <w:p>
      <w:pPr>
        <w:numPr>
          <w:ilvl w:val="0"/>
          <w:numId w:val="2"/>
        </w:numPr>
        <w:spacing w:lineRule="auto"/>
      </w:pPr>
      <w:r>
        <w:rPr/>
        <w:t xml:space="preserve">Risicodossier: risico’s, kans/impact, triggers, maatregelen, eigenaar, rest-risico en koppeling naar W-xx en KPI’s.</w:t>
      </w:r>
    </w:p>
    <w:p>
      <w:pPr>
        <w:numPr>
          <w:ilvl w:val="0"/>
          <w:numId w:val="2"/>
        </w:numPr>
        <w:spacing w:lineRule="auto"/>
      </w:pPr>
      <w:r>
        <w:rPr/>
        <w:t xml:space="preserve">KPI-overzicht (incl. SLA’s): definities, targets, meetmethode, drempels, rapportage, en afwijkingsafhandeling.</w:t>
      </w:r>
    </w:p>
    <w:p>
      <w:pPr>
        <w:numPr>
          <w:ilvl w:val="0"/>
          <w:numId w:val="2"/>
        </w:numPr>
        <w:spacing w:lineRule="auto"/>
      </w:pPr>
      <w:r>
        <w:rPr/>
        <w:t xml:space="preserve">Bewijsverwijzingen: opgenomen binnen bovengenoemde documenten via BR-xx (o.a. ISO 27001, ISO 9001, Azure NL-datacenters, VOG-proces, monitoring- en incidentrapportages).</w:t>
      </w:r>
    </w:p>
    <w:p>
      <w:pPr>
        <w:spacing w:lineRule="auto"/>
      </w:pPr>
      <w:r>
        <w:rPr/>
        <w:t xml:space="preserve">Structuur en codering</w:t>
      </w:r>
    </w:p>
    <w:p>
      <w:pPr>
        <w:numPr>
          <w:ilvl w:val="0"/>
          <w:numId w:val="3"/>
        </w:numPr>
        <w:spacing w:lineRule="auto"/>
      </w:pPr>
      <w:r>
        <w:rPr/>
        <w:t xml:space="preserve">W-xx: werkpakketten zoals 24/7 monitoring en support, incident- en problemmanagement, gepland onderhoud (minimaal 2 per jaar), beveiligingsrapportages.</w:t>
      </w:r>
    </w:p>
    <w:p>
      <w:pPr>
        <w:numPr>
          <w:ilvl w:val="0"/>
          <w:numId w:val="3"/>
        </w:numPr>
        <w:spacing w:lineRule="auto"/>
      </w:pPr>
      <w:r>
        <w:rPr/>
        <w:t xml:space="preserve">KPI-xx: prestatie-indicatoren en SLA’s, waaronder Beschikbaarheid ≥ 99,8%, Responstijd ≤ 1 uur (storingen), Oplostijd ≤ 4 uur (kritiek).</w:t>
      </w:r>
    </w:p>
    <w:p>
      <w:pPr>
        <w:numPr>
          <w:ilvl w:val="0"/>
          <w:numId w:val="3"/>
        </w:numPr>
        <w:spacing w:lineRule="auto"/>
      </w:pPr>
      <w:r>
        <w:rPr/>
        <w:t xml:space="preserve">R-xx: risico’s (bijvoorbeeld uitval, resourcebeschikbaarheid, beveiligingsincidenten).</w:t>
      </w:r>
    </w:p>
    <w:p>
      <w:pPr>
        <w:numPr>
          <w:ilvl w:val="0"/>
          <w:numId w:val="3"/>
        </w:numPr>
        <w:spacing w:lineRule="auto"/>
      </w:pPr>
      <w:r>
        <w:rPr/>
        <w:t xml:space="preserve">BR-xx: bewijsreferenties (certificaten, procesbeschrijvingen, runbooks, rapportages, logextracten).</w:t>
      </w:r>
    </w:p>
    <w:p>
      <w:pPr>
        <w:numPr>
          <w:ilvl w:val="0"/>
          <w:numId w:val="3"/>
        </w:numPr>
        <w:spacing w:lineRule="auto"/>
      </w:pPr>
      <w:r>
        <w:rPr/>
        <w:t xml:space="preserve">Traceerbaarheid: elk W-xx item is gekoppeld aan minimaal één KPI-xx, R-xx en BR-xx. Dit ondersteunt auditability en EMVI-onderbouwing.</w:t>
      </w:r>
    </w:p>
    <w:p>
      <w:pPr>
        <w:spacing w:lineRule="auto"/>
      </w:pPr>
      <w:r>
        <w:rPr/>
        <w:t xml:space="preserve">Hoe te lezen (stapsgewijs)</w:t>
      </w:r>
    </w:p>
    <w:p>
      <w:pPr>
        <w:numPr>
          <w:ilvl w:val="0"/>
          <w:numId w:val="4"/>
        </w:numPr>
        <w:spacing w:lineRule="auto"/>
      </w:pPr>
      <w:r>
        <w:rPr/>
        <w:t xml:space="preserve">Valideren eisen: controleer in Plan van Aanpak dat alle KO- en must-eisen expliciet geborgd zijn.</w:t>
      </w:r>
    </w:p>
    <w:p>
      <w:pPr>
        <w:numPr>
          <w:ilvl w:val="0"/>
          <w:numId w:val="4"/>
        </w:numPr>
        <w:spacing w:lineRule="auto"/>
      </w:pPr>
      <w:r>
        <w:rPr/>
        <w:t xml:space="preserve">Begrijp prestaties: lees KPI-overzicht en verifieer targets, meetmethoden en rapportagekalender.</w:t>
      </w:r>
    </w:p>
    <w:p>
      <w:pPr>
        <w:numPr>
          <w:ilvl w:val="0"/>
          <w:numId w:val="4"/>
        </w:numPr>
        <w:spacing w:lineRule="auto"/>
      </w:pPr>
      <w:r>
        <w:rPr/>
        <w:t xml:space="preserve">Begrijp uitvoering: bestudeer W-xx (Plan van Aanpak) voor processen, verantwoordelijkheden en escalatiepaden.</w:t>
      </w:r>
    </w:p>
    <w:p>
      <w:pPr>
        <w:numPr>
          <w:ilvl w:val="0"/>
          <w:numId w:val="4"/>
        </w:numPr>
        <w:spacing w:lineRule="auto"/>
      </w:pPr>
      <w:r>
        <w:rPr/>
        <w:t xml:space="preserve">Beoordeel risico’s: open Risicodossier, check top-risico’s, maatregelen en de koppelingen naar W-xx/KPI.</w:t>
      </w:r>
    </w:p>
    <w:p>
      <w:pPr>
        <w:numPr>
          <w:ilvl w:val="0"/>
          <w:numId w:val="4"/>
        </w:numPr>
        <w:spacing w:lineRule="auto"/>
      </w:pPr>
      <w:r>
        <w:rPr/>
        <w:t xml:space="preserve">Verifieer bewijs: volg de BR-xx verwijzingen naar certificaten, procedures en voorbeeldrapportages.</w:t>
      </w:r>
    </w:p>
    <w:p>
      <w:pPr>
        <w:spacing w:lineRule="auto"/>
      </w:pPr>
      <w:r>
        <w:rPr/>
        <w:t xml:space="preserve">Compliance en eisenkoppeling</w:t>
      </w:r>
    </w:p>
    <w:p>
      <w:pPr>
        <w:numPr>
          <w:ilvl w:val="0"/>
          <w:numId w:val="5"/>
        </w:numPr>
        <w:spacing w:lineRule="auto"/>
      </w:pPr>
      <w:r>
        <w:rPr/>
        <w:t xml:space="preserve">Knock-outs:</w:t>
      </w:r>
    </w:p>
    <w:p>
      <w:pPr>
        <w:numPr>
          <w:ilvl w:val="1"/>
          <w:numId w:val="6"/>
        </w:numPr>
        <w:spacing w:lineRule="auto"/>
      </w:pPr>
      <w:r>
        <w:rPr/>
        <w:t xml:space="preserve">ISO 27001 (geldig certificaat) → BR-xx; toegepast in ISMS-processen binnen W-xx.</w:t>
      </w:r>
    </w:p>
    <w:p>
      <w:pPr>
        <w:numPr>
          <w:ilvl w:val="1"/>
          <w:numId w:val="6"/>
        </w:numPr>
        <w:spacing w:lineRule="auto"/>
      </w:pPr>
      <w:r>
        <w:rPr/>
        <w:t xml:space="preserve">VOG-personeel → BR-xx; HR-proces en steekproefregistratie gekoppeld aan W-xx onboarding.</w:t>
      </w:r>
    </w:p>
    <w:p>
      <w:pPr>
        <w:numPr>
          <w:ilvl w:val="0"/>
          <w:numId w:val="5"/>
        </w:numPr>
        <w:spacing w:lineRule="auto"/>
      </w:pPr>
      <w:r>
        <w:rPr/>
        <w:t xml:space="preserve">Must-eisen:</w:t>
      </w:r>
    </w:p>
    <w:p>
      <w:pPr>
        <w:numPr>
          <w:ilvl w:val="1"/>
          <w:numId w:val="7"/>
        </w:numPr>
        <w:spacing w:lineRule="auto"/>
      </w:pPr>
      <w:r>
        <w:rPr/>
        <w:t xml:space="preserve">SLA-responstijd &lt; 1 uur bij storingen → KPI-xx, PvA W-xx incidentmanagement.</w:t>
      </w:r>
    </w:p>
    <w:p>
      <w:pPr>
        <w:numPr>
          <w:ilvl w:val="1"/>
          <w:numId w:val="7"/>
        </w:numPr>
        <w:spacing w:lineRule="auto"/>
      </w:pPr>
      <w:r>
        <w:rPr/>
        <w:t xml:space="preserve">24/7 monitoring en support → PvA W-xx, KPI-xx.</w:t>
      </w:r>
    </w:p>
    <w:p>
      <w:pPr>
        <w:numPr>
          <w:ilvl w:val="1"/>
          <w:numId w:val="7"/>
        </w:numPr>
        <w:spacing w:lineRule="auto"/>
      </w:pPr>
      <w:r>
        <w:rPr/>
        <w:t xml:space="preserve">Min. 99,8% beschikbaarheid → KPI-xx, meetmethodiek en uitzonderingen in KPI-overzicht.</w:t>
      </w:r>
    </w:p>
    <w:p>
      <w:pPr>
        <w:numPr>
          <w:ilvl w:val="1"/>
          <w:numId w:val="7"/>
        </w:numPr>
        <w:spacing w:lineRule="auto"/>
      </w:pPr>
      <w:r>
        <w:rPr/>
        <w:t xml:space="preserve">Min. 2 onderhoudsmomenten/jaar → PvA W-xx change/maintenance, jaarplanning.</w:t>
      </w:r>
    </w:p>
    <w:p>
      <w:pPr>
        <w:numPr>
          <w:ilvl w:val="1"/>
          <w:numId w:val="7"/>
        </w:numPr>
        <w:spacing w:lineRule="auto"/>
      </w:pPr>
      <w:r>
        <w:rPr/>
        <w:t xml:space="preserve">Gebruik Microsoft Azure (NL datacenters) → PvA architectuurkeuzes, BR-xx bevestiging NL-regio’s.</w:t>
      </w:r>
    </w:p>
    <w:p>
      <w:pPr>
        <w:numPr>
          <w:ilvl w:val="1"/>
          <w:numId w:val="7"/>
        </w:numPr>
        <w:spacing w:lineRule="auto"/>
      </w:pPr>
      <w:r>
        <w:rPr/>
        <w:t xml:space="preserve">Periodieke rapportage beveiligingsincidenten → PvA security- en incidentproces, KPI-xx rapportage.</w:t>
      </w:r>
    </w:p>
    <w:p>
      <w:pPr>
        <w:spacing w:lineRule="auto"/>
      </w:pPr>
      <w:r>
        <w:rPr/>
        <w:t xml:space="preserve">EMVI-koppeling</w:t>
      </w:r>
    </w:p>
    <w:p>
      <w:pPr>
        <w:numPr>
          <w:ilvl w:val="0"/>
          <w:numId w:val="8"/>
        </w:numPr>
        <w:spacing w:lineRule="auto"/>
      </w:pPr>
      <w:r>
        <w:rPr/>
        <w:t xml:space="preserve">Kwaliteit (40%): aantoonbaar via W-xx, KPI-xx en BR-xx; focus op continuïteit, beschikbaarheid en responstijden.</w:t>
      </w:r>
    </w:p>
    <w:p>
      <w:pPr>
        <w:numPr>
          <w:ilvl w:val="0"/>
          <w:numId w:val="8"/>
        </w:numPr>
        <w:spacing w:lineRule="auto"/>
      </w:pPr>
      <w:r>
        <w:rPr/>
        <w:t xml:space="preserve">Duurzaamheid (20%): beschreven binnen PvA (o.a. efficiënte cloudinzet, reductie on-prem resources, digitale rapportage).</w:t>
      </w:r>
    </w:p>
    <w:p>
      <w:pPr>
        <w:numPr>
          <w:ilvl w:val="0"/>
          <w:numId w:val="8"/>
        </w:numPr>
        <w:spacing w:lineRule="auto"/>
      </w:pPr>
      <w:r>
        <w:rPr/>
        <w:t xml:space="preserve">Risicobeheersing (20%): Risicodossier met preventie/detectie/correctie, rest-risico en triggers; PDCA-borging.</w:t>
      </w:r>
    </w:p>
    <w:p>
      <w:pPr>
        <w:numPr>
          <w:ilvl w:val="0"/>
          <w:numId w:val="8"/>
        </w:numPr>
        <w:spacing w:lineRule="auto"/>
      </w:pPr>
      <w:r>
        <w:rPr/>
        <w:t xml:space="preserve">Prijs (20%): prijsblad en prijsaanpak zijn vastgelegd conform pricing_locked; geen scope-creep door heldere uitsluitingen.</w:t>
      </w:r>
    </w:p>
    <w:p>
      <w:pPr>
        <w:spacing w:lineRule="auto"/>
      </w:pPr>
      <w:r>
        <w:rPr/>
        <w:t xml:space="preserve">PDCA-borging</w:t>
      </w:r>
    </w:p>
    <w:p>
      <w:pPr>
        <w:numPr>
          <w:ilvl w:val="0"/>
          <w:numId w:val="9"/>
        </w:numPr>
        <w:spacing w:lineRule="auto"/>
      </w:pPr>
      <w:r>
        <w:rPr/>
        <w:t xml:space="preserve">Plan: doelen, KPI-targets, risicorespons en W-xx.</w:t>
      </w:r>
    </w:p>
    <w:p>
      <w:pPr>
        <w:numPr>
          <w:ilvl w:val="0"/>
          <w:numId w:val="9"/>
        </w:numPr>
        <w:spacing w:lineRule="auto"/>
      </w:pPr>
      <w:r>
        <w:rPr/>
        <w:t xml:space="preserve">Do: uitvoering 24/7 monitoring, incident- en changeprocessen, gepland onderhoud.</w:t>
      </w:r>
    </w:p>
    <w:p>
      <w:pPr>
        <w:numPr>
          <w:ilvl w:val="0"/>
          <w:numId w:val="9"/>
        </w:numPr>
        <w:spacing w:lineRule="auto"/>
      </w:pPr>
      <w:r>
        <w:rPr/>
        <w:t xml:space="preserve">Check: rapportages volgens KPI-overzicht; audit- en managementreviews.</w:t>
      </w:r>
    </w:p>
    <w:p>
      <w:pPr>
        <w:numPr>
          <w:ilvl w:val="0"/>
          <w:numId w:val="9"/>
        </w:numPr>
        <w:spacing w:lineRule="auto"/>
      </w:pPr>
      <w:r>
        <w:rPr/>
        <w:t xml:space="preserve">Act: verbeteracties op KPI-onder- en overschrijdingen, CAB-besluiten, lessons learned.</w:t>
      </w:r>
    </w:p>
    <w:p>
      <w:pPr>
        <w:spacing w:lineRule="auto"/>
      </w:pPr>
      <w:r>
        <w:rPr/>
        <w:t xml:space="preserve">Randvoorwaarden</w:t>
      </w:r>
    </w:p>
    <w:p>
      <w:pPr>
        <w:numPr>
          <w:ilvl w:val="0"/>
          <w:numId w:val="10"/>
        </w:numPr>
        <w:spacing w:lineRule="auto"/>
      </w:pPr>
      <w:r>
        <w:rPr/>
        <w:t xml:space="preserve">Aannames: toegang tot huidige IT-systemen bij start; opdrachtgever levert contactpersoon voor acceptatie; up-to-date documentatie beschikbaar.</w:t>
      </w:r>
    </w:p>
    <w:p>
      <w:pPr>
        <w:numPr>
          <w:ilvl w:val="0"/>
          <w:numId w:val="10"/>
        </w:numPr>
        <w:spacing w:lineRule="auto"/>
      </w:pPr>
      <w:r>
        <w:rPr/>
        <w:t xml:space="preserve">Uitsluitingen: applicatieontwikkeling buiten scope; hardwareleveringen alleen conform Annex IX.</w:t>
      </w:r>
    </w:p>
    <w:p>
      <w:pPr>
        <w:numPr>
          <w:ilvl w:val="0"/>
          <w:numId w:val="10"/>
        </w:numPr>
        <w:spacing w:lineRule="auto"/>
      </w:pPr>
      <w:r>
        <w:rPr/>
        <w:t xml:space="preserve">Garantie: 12 maanden; prijsstelling geborgd (pricing_locked).</w:t>
      </w:r>
    </w:p>
    <w:p>
      <w:pPr>
        <w:spacing w:lineRule="auto"/>
      </w:pPr>
      <w:r>
        <w:rPr/>
        <w:t xml:space="preserve">Organisatie en certificering</w:t>
      </w:r>
    </w:p>
    <w:p>
      <w:pPr>
        <w:numPr>
          <w:ilvl w:val="0"/>
          <w:numId w:val="11"/>
        </w:numPr>
        <w:spacing w:lineRule="auto"/>
      </w:pPr>
      <w:r>
        <w:rPr/>
        <w:t xml:space="preserve">Leverancier: Uno Automatiseringdiensten B.V., KvK 27172538, BTW NL8070.79.266.B01, Einsteinlaan 14, 2719 ER Zoetermeer.</w:t>
      </w:r>
    </w:p>
    <w:p>
      <w:pPr>
        <w:numPr>
          <w:ilvl w:val="0"/>
          <w:numId w:val="11"/>
        </w:numPr>
        <w:spacing w:lineRule="auto"/>
      </w:pPr>
      <w:r>
        <w:rPr/>
        <w:t xml:space="preserve">Certificaten: ISO 9001, ISO 27001 (BR-xx).</w:t>
      </w:r>
    </w:p>
    <w:p>
      <w:pPr>
        <w:numPr>
          <w:ilvl w:val="0"/>
          <w:numId w:val="11"/>
        </w:numPr>
        <w:spacing w:lineRule="auto"/>
      </w:pPr>
      <w:r>
        <w:rPr/>
        <w:t xml:space="preserve">Contact: Eric van de Vreugdenhil, +31 703300502.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2"/>
        </w:numPr>
        <w:spacing w:lineRule="auto"/>
      </w:pPr>
      <w:r>
        <w:rPr/>
        <w:t xml:space="preserve">Tenderreferentie en definitieve opdrachtgeverbevestiging (NVAO vs. titel met Gemeente Middenstad).</w:t>
      </w:r>
    </w:p>
    <w:p>
      <w:pPr>
        <w:numPr>
          <w:ilvl w:val="0"/>
          <w:numId w:val="12"/>
        </w:numPr>
        <w:spacing w:lineRule="auto"/>
      </w:pPr>
      <w:r>
        <w:rPr/>
        <w:t xml:space="preserve">Inschrijfdeadline en beoogd start-/einddatum raamovereenkomst.</w:t>
      </w:r>
    </w:p>
    <w:p>
      <w:pPr>
        <w:numPr>
          <w:ilvl w:val="0"/>
          <w:numId w:val="12"/>
        </w:numPr>
        <w:spacing w:lineRule="auto"/>
      </w:pPr>
      <w:r>
        <w:rPr/>
        <w:t xml:space="preserve">Escalatie- en acceptatiecontacten aan opdrachtgeverzijde.</w:t>
      </w:r>
    </w:p>
    <w:p>
      <w:pPr>
        <w:numPr>
          <w:ilvl w:val="0"/>
          <w:numId w:val="12"/>
        </w:numPr>
        <w:spacing w:lineRule="auto"/>
      </w:pPr>
      <w:r>
        <w:rPr/>
        <w:t xml:space="preserve">Toegangseisen en beveiligde aanmeldprocedures voor start (lokaties, accounts, IP’s).</w:t>
      </w:r>
    </w:p>
    <w:p>
      <w:pPr>
        <w:numPr>
          <w:ilvl w:val="0"/>
          <w:numId w:val="12"/>
        </w:numPr>
        <w:spacing w:lineRule="auto"/>
      </w:pPr>
      <w:r>
        <w:rPr/>
        <w:t xml:space="preserve">Gewenste frequentie en ontvangers van beveiligingsincident- en KPI-rapportages.</w:t>
      </w:r>
    </w:p>
    <w:p>
      <w:pPr>
        <w:numPr>
          <w:ilvl w:val="0"/>
          <w:numId w:val="12"/>
        </w:numPr>
        <w:spacing w:lineRule="auto"/>
      </w:pPr>
      <w:r>
        <w:rPr/>
        <w:t xml:space="preserve">Bevestiging gebruik Microsoft Azure NL-regio’s en eventuele aanvullende compliance-eisen.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