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Aannames &amp; Uitsluitingen — Caternext B.V. voor Raamovereenkomst Duurzame Catering en Bedrijfslunch 2026–2030 (ref. GEM-AMS-CATER-2026-014)</w:t>
      </w:r>
    </w:p>
    <w:p>
      <w:pPr>
        <w:spacing w:lineRule="auto"/>
      </w:pPr>
      <w:r>
        <w:rPr/>
        <w:t xml:space="preserve">Doel en scopekader</w:t>
      </w:r>
    </w:p>
    <w:p>
      <w:pPr>
        <w:numPr>
          <w:ilvl w:val="0"/>
          <w:numId w:val="1"/>
        </w:numPr>
        <w:spacing w:lineRule="auto"/>
      </w:pPr>
      <w:r>
        <w:rPr/>
        <w:t xml:space="preserve">Scope: dagelijkse bedrijfslunch ≥500 couverts/dag over meerdere gemeentelijke locaties, levertijdvenster 11:00–13:30, inclusief vegetarisch/vegan/glutenvrij; min. 25% biologisch en 30% lokaal/regionaal; allergenenregistratie conform EU 1169/2011; zero-waste met foodwaste &lt;3%.</w:t>
      </w:r>
    </w:p>
    <w:p>
      <w:pPr>
        <w:numPr>
          <w:ilvl w:val="0"/>
          <w:numId w:val="1"/>
        </w:numPr>
        <w:spacing w:lineRule="auto"/>
      </w:pPr>
      <w:r>
        <w:rPr/>
        <w:t xml:space="preserve">Kwalificaties: Caternext beschikt over geldige HACCP en ISO 22000; uitvoering (productie, logistiek, digitaal bestelsysteem) is volledig in-house met Fresh&amp;Local Coöp als regionale ketenpartner.</w:t>
      </w:r>
    </w:p>
    <w:p>
      <w:pPr>
        <w:numPr>
          <w:ilvl w:val="0"/>
          <w:numId w:val="1"/>
        </w:numPr>
        <w:spacing w:lineRule="auto"/>
      </w:pPr>
      <w:r>
        <w:rPr/>
        <w:t xml:space="preserve">Prijsstelling: prijzen vast gedurende de raamovereenkomst (2026–2030), exclusief wettelijke wijzigingen (BTW, statutaire minimumloon-/cao-verplichtingen). Zie financiële consequenties.</w:t>
      </w:r>
    </w:p>
    <w:p>
      <w:pPr>
        <w:spacing w:lineRule="auto"/>
      </w:pPr>
      <w:r>
        <w:rPr/>
        <w:t xml:space="preserve">Operationele aannames (SMART, met W-xx ↔ KPI ↔ Risico ↔ Bewijs)</w:t>
      </w:r>
    </w:p>
    <w:p>
      <w:pPr>
        <w:numPr>
          <w:ilvl w:val="0"/>
          <w:numId w:val="2"/>
        </w:numPr>
        <w:spacing w:lineRule="auto"/>
      </w:pPr>
      <w:r>
        <w:rPr/>
        <w:t xml:space="preserve">W-01 Menu &amp; inkoop</w:t>
      </w:r>
    </w:p>
    <w:p>
      <w:pPr>
        <w:numPr>
          <w:ilvl w:val="1"/>
          <w:numId w:val="3"/>
        </w:numPr>
        <w:spacing w:lineRule="auto"/>
      </w:pPr>
      <w:r>
        <w:rPr/>
        <w:t xml:space="preserve">Aannames: lokaal/regionaal gedefinieerd als herkomst binnen 150 km van Amsterdam of uit Noord-Holland/Flevoland/Utrecht; biologisch aandeel gemeten op inkoopwaarde van voedingsmiddelen per maand (excl. water/energie).</w:t>
      </w:r>
    </w:p>
    <w:p>
      <w:pPr>
        <w:numPr>
          <w:ilvl w:val="1"/>
          <w:numId w:val="3"/>
        </w:numPr>
        <w:spacing w:lineRule="auto"/>
      </w:pPr>
      <w:r>
        <w:rPr/>
        <w:t xml:space="preserve">[W-01 | KPI: Duurzaam aandeel: ≥30% lokaal/regionaal en ≥25% bio per maand | Risico: R1 leveringsschaarste | Bewijs: leveranciers- en herkomstlijsten, SKAL- en EU Bio-certificaten]</w:t>
      </w:r>
    </w:p>
    <w:p>
      <w:pPr>
        <w:numPr>
          <w:ilvl w:val="0"/>
          <w:numId w:val="2"/>
        </w:numPr>
        <w:spacing w:lineRule="auto"/>
      </w:pPr>
      <w:r>
        <w:rPr/>
        <w:t xml:space="preserve">W-02 Allergenen &amp; dieetprofielen</w:t>
      </w:r>
    </w:p>
    <w:p>
      <w:pPr>
        <w:numPr>
          <w:ilvl w:val="1"/>
          <w:numId w:val="4"/>
        </w:numPr>
        <w:spacing w:lineRule="auto"/>
      </w:pPr>
      <w:r>
        <w:rPr/>
        <w:t xml:space="preserve">Aannames: medewerkers registreren dieetprofielen in het digitale systeem; realtime allergeneninfo op itemniveau; kruisbesmetting gereduceerd via gescheiden stromen en validatie, maar nul-risico kan juridisch niet worden gegarandeerd.</w:t>
      </w:r>
    </w:p>
    <w:p>
      <w:pPr>
        <w:numPr>
          <w:ilvl w:val="1"/>
          <w:numId w:val="4"/>
        </w:numPr>
        <w:spacing w:lineRule="auto"/>
      </w:pPr>
      <w:r>
        <w:rPr/>
        <w:t xml:space="preserve">[W-02 | KPI: Allergenen-fouten: 0 | Risico: R2 datakwaliteit profiel | Bewijs: allergenenregister, batch-etikettering, trainingslogboek]</w:t>
      </w:r>
    </w:p>
    <w:p>
      <w:pPr>
        <w:numPr>
          <w:ilvl w:val="0"/>
          <w:numId w:val="2"/>
        </w:numPr>
        <w:spacing w:lineRule="auto"/>
      </w:pPr>
      <w:r>
        <w:rPr/>
        <w:t xml:space="preserve">W-03 Productie &amp; voedselveiligheid</w:t>
      </w:r>
    </w:p>
    <w:p>
      <w:pPr>
        <w:numPr>
          <w:ilvl w:val="1"/>
          <w:numId w:val="5"/>
        </w:numPr>
        <w:spacing w:lineRule="auto"/>
      </w:pPr>
      <w:r>
        <w:rPr/>
        <w:t xml:space="preserve">Aannames: productie in ISO 22000-gecertificeerde keukens; HACCP-plan toegepast; koelketen 0–4°C, transport ≤60 min per rit.</w:t>
      </w:r>
    </w:p>
    <w:p>
      <w:pPr>
        <w:numPr>
          <w:ilvl w:val="1"/>
          <w:numId w:val="5"/>
        </w:numPr>
        <w:spacing w:lineRule="auto"/>
      </w:pPr>
      <w:r>
        <w:rPr/>
        <w:t xml:space="preserve">[W-03 | KPI: HACCP-afwijkingen: 0 kritieke | Risico: R3 koudeketenonderbreking | Bewijs: kalibratie- en temperatuur-logs, auditrapporten]</w:t>
      </w:r>
    </w:p>
    <w:p>
      <w:pPr>
        <w:numPr>
          <w:ilvl w:val="0"/>
          <w:numId w:val="2"/>
        </w:numPr>
        <w:spacing w:lineRule="auto"/>
      </w:pPr>
      <w:r>
        <w:rPr/>
        <w:t xml:space="preserve">W-04 Logistiek &amp; levering</w:t>
      </w:r>
    </w:p>
    <w:p>
      <w:pPr>
        <w:numPr>
          <w:ilvl w:val="1"/>
          <w:numId w:val="6"/>
        </w:numPr>
        <w:spacing w:lineRule="auto"/>
      </w:pPr>
      <w:r>
        <w:rPr/>
        <w:t xml:space="preserve">Aannames: toegang tot laad- en losplaatsen en lift/toegangspassen; levervenster 11:00–13:30 met ±10 min dock-tijd per locatie.</w:t>
      </w:r>
    </w:p>
    <w:p>
      <w:pPr>
        <w:numPr>
          <w:ilvl w:val="1"/>
          <w:numId w:val="6"/>
        </w:numPr>
        <w:spacing w:lineRule="auto"/>
      </w:pPr>
      <w:r>
        <w:rPr/>
        <w:t xml:space="preserve">[W-04 | KPI: Op tijd geleverd: ≥98% per maand | Risico: R4 verkeers- en beveiligingsvertraging | Bewijs: ritdata/GPS, afleverbewijzen]</w:t>
      </w:r>
    </w:p>
    <w:p>
      <w:pPr>
        <w:numPr>
          <w:ilvl w:val="0"/>
          <w:numId w:val="2"/>
        </w:numPr>
        <w:spacing w:lineRule="auto"/>
      </w:pPr>
      <w:r>
        <w:rPr/>
        <w:t xml:space="preserve">W-05 Zero-waste &amp; verpakking</w:t>
      </w:r>
    </w:p>
    <w:p>
      <w:pPr>
        <w:numPr>
          <w:ilvl w:val="1"/>
          <w:numId w:val="7"/>
        </w:numPr>
        <w:spacing w:lineRule="auto"/>
      </w:pPr>
      <w:r>
        <w:rPr/>
        <w:t xml:space="preserve">Aannames: herbruikbare kratten/boxen; retourpunt per locatie; klant scheidt/retourneert materialen dezelfde dag.</w:t>
      </w:r>
    </w:p>
    <w:p>
      <w:pPr>
        <w:numPr>
          <w:ilvl w:val="1"/>
          <w:numId w:val="7"/>
        </w:numPr>
        <w:spacing w:lineRule="auto"/>
      </w:pPr>
      <w:r>
        <w:rPr/>
        <w:t xml:space="preserve">[W-05 | KPI: Retourlogistiek: ≥98% retour binnen 48 uur; Foodwaste &lt;3% t.o.v. pre-orders | Risico: R5 niet-tijdige retour | Bewijs: retourscanlogs, weeg- en verspildashboard]</w:t>
      </w:r>
    </w:p>
    <w:p>
      <w:pPr>
        <w:numPr>
          <w:ilvl w:val="0"/>
          <w:numId w:val="2"/>
        </w:numPr>
        <w:spacing w:lineRule="auto"/>
      </w:pPr>
      <w:r>
        <w:rPr/>
        <w:t xml:space="preserve">W-06 Digitaal bestelsysteem &amp; data</w:t>
      </w:r>
    </w:p>
    <w:p>
      <w:pPr>
        <w:numPr>
          <w:ilvl w:val="1"/>
          <w:numId w:val="8"/>
        </w:numPr>
        <w:spacing w:lineRule="auto"/>
      </w:pPr>
      <w:r>
        <w:rPr/>
        <w:t xml:space="preserve">Aannames: web en app met SSO-optie; uptime ≥99,5% mnd; AVG: Gemeente verwerkingsverantwoordelijke, Caternext verwerker; DPIA door Gemeente.</w:t>
      </w:r>
    </w:p>
    <w:p>
      <w:pPr>
        <w:numPr>
          <w:ilvl w:val="1"/>
          <w:numId w:val="8"/>
        </w:numPr>
        <w:spacing w:lineRule="auto"/>
      </w:pPr>
      <w:r>
        <w:rPr/>
        <w:t xml:space="preserve">[W-06 | KPI: Systeemuptime ≥99,5%; beveiligingsincidenten: 0 | Risico: R6 IT-storing | Bewijs: uptime-rapporten, ISO 27001-verklaring van applicatiehosting, verwerkersovereenkomst]</w:t>
      </w:r>
    </w:p>
    <w:p>
      <w:pPr>
        <w:numPr>
          <w:ilvl w:val="0"/>
          <w:numId w:val="2"/>
        </w:numPr>
        <w:spacing w:lineRule="auto"/>
      </w:pPr>
      <w:r>
        <w:rPr/>
        <w:t xml:space="preserve">W-07 Klantbeleving</w:t>
      </w:r>
    </w:p>
    <w:p>
      <w:pPr>
        <w:numPr>
          <w:ilvl w:val="1"/>
          <w:numId w:val="9"/>
        </w:numPr>
        <w:spacing w:lineRule="auto"/>
      </w:pPr>
      <w:r>
        <w:rPr/>
        <w:t xml:space="preserve">Aannames: maandelijkse NPS/tevredenheidsmeting via systeem; klachtenafhandeling binnen 2 werkdagen.</w:t>
      </w:r>
    </w:p>
    <w:p>
      <w:pPr>
        <w:numPr>
          <w:ilvl w:val="1"/>
          <w:numId w:val="9"/>
        </w:numPr>
        <w:spacing w:lineRule="auto"/>
      </w:pPr>
      <w:r>
        <w:rPr/>
        <w:t xml:space="preserve">[W-07 | KPI: Klanttevredenheid ≥8,2; klachtenafhandeling ≥95% op tijd | Risico: R7 piekdrukte service | Bewijs: survey-rapporten, ticketsysteem]</w:t>
      </w:r>
    </w:p>
    <w:p>
      <w:pPr>
        <w:numPr>
          <w:ilvl w:val="0"/>
          <w:numId w:val="2"/>
        </w:numPr>
        <w:spacing w:lineRule="auto"/>
      </w:pPr>
      <w:r>
        <w:rPr/>
        <w:t xml:space="preserve">W-08 Transitie &amp; continu verbeteren</w:t>
      </w:r>
    </w:p>
    <w:p>
      <w:pPr>
        <w:numPr>
          <w:ilvl w:val="1"/>
          <w:numId w:val="10"/>
        </w:numPr>
        <w:spacing w:lineRule="auto"/>
      </w:pPr>
      <w:r>
        <w:rPr/>
        <w:t xml:space="preserve">Aannames: minimale transitieperiode 6 weken vóór go-live voor intake, menuvalidatie, IT-koppelingen en proefleveringen.</w:t>
      </w:r>
    </w:p>
    <w:p>
      <w:pPr>
        <w:numPr>
          <w:ilvl w:val="1"/>
          <w:numId w:val="10"/>
        </w:numPr>
        <w:spacing w:lineRule="auto"/>
      </w:pPr>
      <w:r>
        <w:rPr/>
        <w:t xml:space="preserve">[W-08 | KPI: Implementatiemijlpalen 100% op tijd; verbeteracties gesloten ≥95% per kwartaal | Risico: R8 late input | Bewijs: projectplan, Go-Live-checklists]</w:t>
      </w:r>
    </w:p>
    <w:p>
      <w:pPr>
        <w:spacing w:lineRule="auto"/>
      </w:pPr>
      <w:r>
        <w:rPr/>
        <w:t xml:space="preserve">Meetmethodiek en definities</w:t>
      </w:r>
    </w:p>
    <w:p>
      <w:pPr>
        <w:numPr>
          <w:ilvl w:val="0"/>
          <w:numId w:val="11"/>
        </w:numPr>
        <w:spacing w:lineRule="auto"/>
      </w:pPr>
      <w:r>
        <w:rPr/>
        <w:t xml:space="preserve">Foodwaste &lt;3%: maandgemiddelde gewogen op pre-order volumes (excl. onvoorzien walk-in &gt;10% boven forecast); meting via geijkt weegsysteem en dashboard.</w:t>
      </w:r>
    </w:p>
    <w:p>
      <w:pPr>
        <w:numPr>
          <w:ilvl w:val="0"/>
          <w:numId w:val="11"/>
        </w:numPr>
        <w:spacing w:lineRule="auto"/>
      </w:pPr>
      <w:r>
        <w:rPr/>
        <w:t xml:space="preserve">Op tijd geleverd: afgifte binnen afgesproken 15-minuten-slot; buiten slot telt als te laat.</w:t>
      </w:r>
    </w:p>
    <w:p>
      <w:pPr>
        <w:numPr>
          <w:ilvl w:val="0"/>
          <w:numId w:val="11"/>
        </w:numPr>
        <w:spacing w:lineRule="auto"/>
      </w:pPr>
      <w:r>
        <w:rPr/>
        <w:t xml:space="preserve">Lokaal/bio-aandelen: berekend op factuur-inkoopwaarde per maand, steekproefmatig geauditeerd per kwartaal.</w:t>
      </w:r>
    </w:p>
    <w:p>
      <w:pPr>
        <w:spacing w:lineRule="auto"/>
      </w:pPr>
      <w:r>
        <w:rPr/>
        <w:t xml:space="preserve">Juridische uitsluitingen en randvoorwaarden</w:t>
      </w:r>
    </w:p>
    <w:p>
      <w:pPr>
        <w:numPr>
          <w:ilvl w:val="0"/>
          <w:numId w:val="12"/>
        </w:numPr>
        <w:spacing w:lineRule="auto"/>
      </w:pPr>
      <w:r>
        <w:rPr/>
        <w:t xml:space="preserve">Uitsluitingen scope: warme maaltijdvoorziening buiten lunchvenster; banqueting/eventcatering; vending/automaten; koffieapparatuur; on-site keukenbouw/verbouw; alcoholische dranken.</w:t>
      </w:r>
    </w:p>
    <w:p>
      <w:pPr>
        <w:numPr>
          <w:ilvl w:val="0"/>
          <w:numId w:val="12"/>
        </w:numPr>
        <w:spacing w:lineRule="auto"/>
      </w:pPr>
      <w:r>
        <w:rPr/>
        <w:t xml:space="preserve">Personeel: geen verplichte overgang van personeel (geen toepasselijkheid van overgang van onderneming) tenzij schriftelijk overeengekomen.</w:t>
      </w:r>
    </w:p>
    <w:p>
      <w:pPr>
        <w:numPr>
          <w:ilvl w:val="0"/>
          <w:numId w:val="12"/>
        </w:numPr>
        <w:spacing w:lineRule="auto"/>
      </w:pPr>
      <w:r>
        <w:rPr/>
        <w:t xml:space="preserve">AVG: Gemeente is verwerkingsverantwoordelijke; Caternext is verwerker onder verwerkersovereenkomst; geen internationale doorgifte buiten EER zonder schriftelijke toestemming en SCC’s.</w:t>
      </w:r>
    </w:p>
    <w:p>
      <w:pPr>
        <w:numPr>
          <w:ilvl w:val="0"/>
          <w:numId w:val="12"/>
        </w:numPr>
        <w:spacing w:lineRule="auto"/>
      </w:pPr>
      <w:r>
        <w:rPr/>
        <w:t xml:space="preserve">Intellectueel eigendom: menu-engine, recepturen, algoritmes en dashboards blijven eigendom van Caternext; Gemeente krijgt gebruiksrecht voor contractduur.</w:t>
      </w:r>
    </w:p>
    <w:p>
      <w:pPr>
        <w:numPr>
          <w:ilvl w:val="0"/>
          <w:numId w:val="12"/>
        </w:numPr>
        <w:spacing w:lineRule="auto"/>
      </w:pPr>
      <w:r>
        <w:rPr/>
        <w:t xml:space="preserve">Aansprakelijkheid: beperkt tot 1x jaaromzet onder de raamovereenkomst; uitgesloten gevolgschade, behoudens opzet/grove schuld of wettelijke productaansprakelijkheid.</w:t>
      </w:r>
    </w:p>
    <w:p>
      <w:pPr>
        <w:numPr>
          <w:ilvl w:val="0"/>
          <w:numId w:val="12"/>
        </w:numPr>
        <w:spacing w:lineRule="auto"/>
      </w:pPr>
      <w:r>
        <w:rPr/>
        <w:t xml:space="preserve">Force majeure: weersomstandigheden, stakingen derden, overheidsmaatregelen en grid-/ICT-storingen buiten onze macht; mitigatie via back-uproutes en alternatieve leveranciers.</w:t>
      </w:r>
    </w:p>
    <w:p>
      <w:pPr>
        <w:numPr>
          <w:ilvl w:val="0"/>
          <w:numId w:val="12"/>
        </w:numPr>
        <w:spacing w:lineRule="auto"/>
      </w:pPr>
      <w:r>
        <w:rPr/>
        <w:t xml:space="preserve">Certificering: ISO 22000/HACCP verplicht actueel; wijzigingen worden gemeld binnen 5 werkdagen.</w:t>
      </w:r>
    </w:p>
    <w:p>
      <w:pPr>
        <w:spacing w:lineRule="auto"/>
      </w:pPr>
      <w:r>
        <w:rPr/>
        <w:t xml:space="preserve">Financiële consequenties en condities</w:t>
      </w:r>
    </w:p>
    <w:p>
      <w:pPr>
        <w:numPr>
          <w:ilvl w:val="0"/>
          <w:numId w:val="13"/>
        </w:numPr>
        <w:spacing w:lineRule="auto"/>
      </w:pPr>
      <w:r>
        <w:rPr/>
        <w:t xml:space="preserve">Prijzen: vast voor 2026–2030; aanpasbaar uitsluitend bij wettelijke wijzigingen (BTW, accijnzen, statutaire loonkosten), met kostendoorrekening op basis van bewijsstukken.</w:t>
      </w:r>
    </w:p>
    <w:p>
      <w:pPr>
        <w:numPr>
          <w:ilvl w:val="0"/>
          <w:numId w:val="13"/>
        </w:numPr>
        <w:spacing w:lineRule="auto"/>
      </w:pPr>
      <w:r>
        <w:rPr/>
        <w:t xml:space="preserve">Volumeschommelingen: capaciteit geborgd t/m 500 couverts/dag; bij &gt;20% afwijking van forecast gedurende ≥4 weken kan levermodel worden aangepast zonder prijsimpact; bij extra drops/locaties kunnen logistieke toeslagen gelden.</w:t>
      </w:r>
    </w:p>
    <w:p>
      <w:pPr>
        <w:numPr>
          <w:ilvl w:val="0"/>
          <w:numId w:val="13"/>
        </w:numPr>
        <w:spacing w:lineRule="auto"/>
      </w:pPr>
      <w:r>
        <w:rPr/>
        <w:t xml:space="preserve">Spoed en buitenvenster: orders &lt;24 uur of leveringen buiten 11:00–13:30 in overleg; toeslag kostendekkend (transport en planning).</w:t>
      </w:r>
    </w:p>
    <w:p>
      <w:pPr>
        <w:numPr>
          <w:ilvl w:val="0"/>
          <w:numId w:val="13"/>
        </w:numPr>
        <w:spacing w:lineRule="auto"/>
      </w:pPr>
      <w:r>
        <w:rPr/>
        <w:t xml:space="preserve">Verlies/diefstal/herbruikbare assets: niet-geretourneerde of beschadigde kratten/boxen worden tegen vervangingswaarde gefactureerd; maandelijkse rapportage.</w:t>
      </w:r>
    </w:p>
    <w:p>
      <w:pPr>
        <w:numPr>
          <w:ilvl w:val="0"/>
          <w:numId w:val="13"/>
        </w:numPr>
        <w:spacing w:lineRule="auto"/>
      </w:pPr>
      <w:r>
        <w:rPr/>
        <w:t xml:space="preserve">Service credits (vrijwillig, geen boete):</w:t>
      </w:r>
    </w:p>
    <w:p>
      <w:pPr>
        <w:numPr>
          <w:ilvl w:val="1"/>
          <w:numId w:val="14"/>
        </w:numPr>
        <w:spacing w:lineRule="auto"/>
      </w:pPr>
      <w:r>
        <w:rPr/>
        <w:t xml:space="preserve">Op tijd geleverd &lt;98%: 2% credit op maandfactuur per procentpunt onder target (plafond 10%).</w:t>
      </w:r>
    </w:p>
    <w:p>
      <w:pPr>
        <w:numPr>
          <w:ilvl w:val="1"/>
          <w:numId w:val="14"/>
        </w:numPr>
        <w:spacing w:lineRule="auto"/>
      </w:pPr>
      <w:r>
        <w:rPr/>
        <w:t xml:space="preserve">Klanttevredenheid &lt;8,2: 1% credit per 0,2 punt onder target (plafond 5%).</w:t>
      </w:r>
    </w:p>
    <w:p>
      <w:pPr>
        <w:numPr>
          <w:ilvl w:val="1"/>
          <w:numId w:val="14"/>
        </w:numPr>
        <w:spacing w:lineRule="auto"/>
      </w:pPr>
      <w:r>
        <w:rPr/>
        <w:t xml:space="preserve">Allergenen-incident (gegrond): kosteloze root cause analyse + onmiddellijke corrigerende maatregelen en kosteloze herlevering.</w:t>
      </w:r>
    </w:p>
    <w:p>
      <w:pPr>
        <w:numPr>
          <w:ilvl w:val="0"/>
          <w:numId w:val="13"/>
        </w:numPr>
        <w:spacing w:lineRule="auto"/>
      </w:pPr>
      <w:r>
        <w:rPr/>
        <w:t xml:space="preserve">Garantie: 12 maanden op IT-diensten (bugs, updates) en serviceniveaus; catering is dagverse dienst met herstel door herlevering/credit.</w:t>
      </w:r>
    </w:p>
    <w:p>
      <w:pPr>
        <w:spacing w:lineRule="auto"/>
      </w:pPr>
      <w:r>
        <w:rPr/>
        <w:t xml:space="preserve">PDCA-borging (koppeling KPI ↔ Actie)</w:t>
      </w:r>
    </w:p>
    <w:p>
      <w:pPr>
        <w:numPr>
          <w:ilvl w:val="0"/>
          <w:numId w:val="15"/>
        </w:numPr>
        <w:spacing w:lineRule="auto"/>
      </w:pPr>
      <w:r>
        <w:rPr/>
        <w:t xml:space="preserve">Plan: kwartaal-inkoopplan met duurzaamheidsmix (W-01), trainingsplan allergenen (W-02), logistiek schema (W-04), nulmeting NPS (W-07).</w:t>
      </w:r>
    </w:p>
    <w:p>
      <w:pPr>
        <w:numPr>
          <w:ilvl w:val="0"/>
          <w:numId w:val="15"/>
        </w:numPr>
        <w:spacing w:lineRule="auto"/>
      </w:pPr>
      <w:r>
        <w:rPr/>
        <w:t xml:space="preserve">Do: uitvoering menu’s, koudeketen, leveringen, retourlogistiek en systeembeheer conform SOP’s.</w:t>
      </w:r>
    </w:p>
    <w:p>
      <w:pPr>
        <w:numPr>
          <w:ilvl w:val="0"/>
          <w:numId w:val="15"/>
        </w:numPr>
        <w:spacing w:lineRule="auto"/>
      </w:pPr>
      <w:r>
        <w:rPr/>
        <w:t xml:space="preserve">Check: maandelijkse KPI-rapportage en interne audits; kwartaalreview met Gemeente.</w:t>
      </w:r>
    </w:p>
    <w:p>
      <w:pPr>
        <w:numPr>
          <w:ilvl w:val="0"/>
          <w:numId w:val="15"/>
        </w:numPr>
        <w:spacing w:lineRule="auto"/>
      </w:pPr>
      <w:r>
        <w:rPr/>
        <w:t xml:space="preserve">Act: corrigerende acties met eigenaar en deadline; herprioritering W-xx; update risicodossier en lessons learned.</w:t>
      </w:r>
    </w:p>
    <w:p>
      <w:pPr>
        <w:spacing w:lineRule="auto"/>
      </w:pPr>
      <w:r>
        <w:rPr/>
        <w:t xml:space="preserve">Toprisico’s en beheersing (selectie)</w:t>
      </w:r>
    </w:p>
    <w:p>
      <w:pPr>
        <w:numPr>
          <w:ilvl w:val="0"/>
          <w:numId w:val="16"/>
        </w:numPr>
        <w:spacing w:lineRule="auto"/>
      </w:pPr>
      <w:r>
        <w:rPr/>
        <w:t xml:space="preserve">R1 Leveringsschaarste lokaal/bio: dual sourcing via Fresh&amp;Local Coöp; fallback op gecertificeerde alternatieven met gelijkwaardige duurzaamheidswaarde.</w:t>
      </w:r>
    </w:p>
    <w:p>
      <w:pPr>
        <w:numPr>
          <w:ilvl w:val="0"/>
          <w:numId w:val="16"/>
        </w:numPr>
        <w:spacing w:lineRule="auto"/>
      </w:pPr>
      <w:r>
        <w:rPr/>
        <w:t xml:space="preserve">R2 Onjuiste dieetprofielen: validatie bij eerste bestelling; herinneringen in systeem; training klantcontact.</w:t>
      </w:r>
    </w:p>
    <w:p>
      <w:pPr>
        <w:numPr>
          <w:ilvl w:val="0"/>
          <w:numId w:val="16"/>
        </w:numPr>
        <w:spacing w:lineRule="auto"/>
      </w:pPr>
      <w:r>
        <w:rPr/>
        <w:t xml:space="preserve">R3 Koudeketenonderbreking: telemetrie in voertuigen; noodkoelboxen; afkeurprotocol.</w:t>
      </w:r>
    </w:p>
    <w:p>
      <w:pPr>
        <w:numPr>
          <w:ilvl w:val="0"/>
          <w:numId w:val="16"/>
        </w:numPr>
        <w:spacing w:lineRule="auto"/>
      </w:pPr>
      <w:r>
        <w:rPr/>
        <w:t xml:space="preserve">R4 Verkeers-/toegangsvertraging: buffertijd, alternatieve routes, vooraf aanmelden; piekslot-herverdeling.</w:t>
      </w:r>
    </w:p>
    <w:p>
      <w:pPr>
        <w:numPr>
          <w:ilvl w:val="0"/>
          <w:numId w:val="16"/>
        </w:numPr>
        <w:spacing w:lineRule="auto"/>
      </w:pPr>
      <w:r>
        <w:rPr/>
        <w:t xml:space="preserve">R5 Retourlogistiek onvolledig: interne inzamelpunten; locatiecoördinator; maandelijkse retourscorekaart.</w:t>
      </w:r>
    </w:p>
    <w:p>
      <w:pPr>
        <w:numPr>
          <w:ilvl w:val="0"/>
          <w:numId w:val="16"/>
        </w:numPr>
        <w:spacing w:lineRule="auto"/>
      </w:pPr>
      <w:r>
        <w:rPr/>
        <w:t xml:space="preserve">R6 IT-storing: 24/7 monitoring; failover; noodbestelformulier per e-mail/SFTP.</w:t>
      </w:r>
    </w:p>
    <w:p>
      <w:pPr>
        <w:numPr>
          <w:ilvl w:val="0"/>
          <w:numId w:val="16"/>
        </w:numPr>
        <w:spacing w:lineRule="auto"/>
      </w:pPr>
      <w:r>
        <w:rPr/>
        <w:t xml:space="preserve">R7 Piekdrukte onbeheerst: extra uitgiftekarren; staff flexpool; menu-items met snelle throughput.</w:t>
      </w:r>
    </w:p>
    <w:p>
      <w:pPr>
        <w:numPr>
          <w:ilvl w:val="0"/>
          <w:numId w:val="16"/>
        </w:numPr>
        <w:spacing w:lineRule="auto"/>
      </w:pPr>
      <w:r>
        <w:rPr/>
        <w:t xml:space="preserve">R8 Late input/go-live risico: transitiechecklist; go/no-go criteria; parallelle proefweek.</w:t>
      </w:r>
    </w:p>
    <w:p>
      <w:pPr>
        <w:spacing w:lineRule="auto"/>
      </w:pPr>
      <w:r>
        <w:rPr/>
        <w:t xml:space="preserve">Bewijs en conformiteit</w:t>
      </w:r>
    </w:p>
    <w:p>
      <w:pPr>
        <w:numPr>
          <w:ilvl w:val="0"/>
          <w:numId w:val="17"/>
        </w:numPr>
        <w:spacing w:lineRule="auto"/>
      </w:pPr>
      <w:r>
        <w:rPr/>
        <w:t xml:space="preserve">Certificaten: ISO 22000, HACCP; PSL niveau 3.</w:t>
      </w:r>
    </w:p>
    <w:p>
      <w:pPr>
        <w:numPr>
          <w:ilvl w:val="0"/>
          <w:numId w:val="17"/>
        </w:numPr>
        <w:spacing w:lineRule="auto"/>
      </w:pPr>
      <w:r>
        <w:rPr/>
        <w:t xml:space="preserve">Registraties: allergenenregister, temperatuurlogs, leverancierscertificaten, rit- en retourdata, klanttevredenheidsrapportages.</w:t>
      </w:r>
    </w:p>
    <w:p>
      <w:pPr>
        <w:numPr>
          <w:ilvl w:val="0"/>
          <w:numId w:val="17"/>
        </w:numPr>
        <w:spacing w:lineRule="auto"/>
      </w:pPr>
      <w:r>
        <w:rPr/>
        <w:t xml:space="preserve">Audits: jaarlijkse externe voedselveiligheidsaudit; kwartaal interne audits; resultaten gedeeld met Gemeente.</w:t>
      </w:r>
    </w:p>
    <w:p>
      <w:pPr>
        <w:spacing w:lineRule="auto"/>
      </w:pPr>
      <w:r>
        <w:rPr/>
        <w:t xml:space="preserve">Aannames afhankelijk van opdrachtgever</w:t>
      </w:r>
    </w:p>
    <w:p>
      <w:pPr>
        <w:numPr>
          <w:ilvl w:val="0"/>
          <w:numId w:val="18"/>
        </w:numPr>
        <w:spacing w:lineRule="auto"/>
      </w:pPr>
      <w:r>
        <w:rPr/>
        <w:t xml:space="preserve">Tijdig verstrekken van locaties, contactpersonen, toegangs- en veiligheidsinstructies.</w:t>
      </w:r>
    </w:p>
    <w:p>
      <w:pPr>
        <w:numPr>
          <w:ilvl w:val="0"/>
          <w:numId w:val="18"/>
        </w:numPr>
        <w:spacing w:lineRule="auto"/>
      </w:pPr>
      <w:r>
        <w:rPr/>
        <w:t xml:space="preserve">Volumeforecast per locatie met weekprofiel en piekdagen; feestdagen-/recessokalender.</w:t>
      </w:r>
    </w:p>
    <w:p>
      <w:pPr>
        <w:numPr>
          <w:ilvl w:val="0"/>
          <w:numId w:val="18"/>
        </w:numPr>
        <w:spacing w:lineRule="auto"/>
      </w:pPr>
      <w:r>
        <w:rPr/>
        <w:t xml:space="preserve">Keuze en beleid dieetprofielen (welke allergens/dieetrestricties centraal beschikbaar).</w:t>
      </w:r>
    </w:p>
    <w:p>
      <w:pPr>
        <w:numPr>
          <w:ilvl w:val="0"/>
          <w:numId w:val="18"/>
        </w:numPr>
        <w:spacing w:lineRule="auto"/>
      </w:pPr>
      <w:r>
        <w:rPr/>
        <w:t xml:space="preserve">Beschikbaarheid laad/los, opslag/koelruimte indien op locatie vereist, en retourpunt.</w:t>
      </w:r>
    </w:p>
    <w:p>
      <w:pPr>
        <w:numPr>
          <w:ilvl w:val="0"/>
          <w:numId w:val="18"/>
        </w:numPr>
        <w:spacing w:lineRule="auto"/>
      </w:pPr>
      <w:r>
        <w:rPr/>
        <w:t xml:space="preserve">Juridisch: ondertekening verwerkersovereenkomst AVG en goedkeuring DPIA-indeling.</w:t>
      </w:r>
    </w:p>
    <w:p>
      <w:pPr>
        <w:numPr>
          <w:ilvl w:val="0"/>
          <w:numId w:val="18"/>
        </w:numPr>
        <w:spacing w:lineRule="auto"/>
      </w:pPr>
      <w:r>
        <w:rPr/>
        <w:t xml:space="preserve">Goedkeuringskaders voor menu’s en duurzaamheidsmix per kwartaal (reactietermijn ≤5 werkdagen).</w:t>
      </w:r>
    </w:p>
    <w:p>
      <w:pPr>
        <w:numPr>
          <w:ilvl w:val="0"/>
          <w:numId w:val="18"/>
        </w:numPr>
        <w:spacing w:lineRule="auto"/>
      </w:pPr>
      <w:r>
        <w:rPr/>
        <w:t xml:space="preserve">Afspraak over meet- en auditkaders voor KPI’s en data-uitwisselingsformaat.</w:t>
      </w:r>
    </w:p>
    <w:p>
      <w:pPr>
        <w:spacing w:lineRule="auto"/>
      </w:pPr>
      <w:r>
        <w:rPr/>
        <w:t xml:space="preserve">Uitsluitingen prijs/levering bij afwijkingen</w:t>
      </w:r>
    </w:p>
    <w:p>
      <w:pPr>
        <w:numPr>
          <w:ilvl w:val="0"/>
          <w:numId w:val="19"/>
        </w:numPr>
        <w:spacing w:lineRule="auto"/>
      </w:pPr>
      <w:r>
        <w:rPr/>
        <w:t xml:space="preserve">Werkzaamheden buiten scope (banqueting, events, avond/weekend) alleen op separate opdracht en tarief.</w:t>
      </w:r>
    </w:p>
    <w:p>
      <w:pPr>
        <w:numPr>
          <w:ilvl w:val="0"/>
          <w:numId w:val="19"/>
        </w:numPr>
        <w:spacing w:lineRule="auto"/>
      </w:pPr>
      <w:r>
        <w:rPr/>
        <w:t xml:space="preserve">Wijzigingen in wet- en regelgeving die direct kostenverhogend zijn worden 1-op-1 doorbelast na bewijs.</w:t>
      </w:r>
    </w:p>
    <w:p>
      <w:pPr>
        <w:numPr>
          <w:ilvl w:val="0"/>
          <w:numId w:val="19"/>
        </w:numPr>
        <w:spacing w:lineRule="auto"/>
      </w:pPr>
      <w:r>
        <w:rPr/>
        <w:t xml:space="preserve">Onvoorziene facilitaire beperkingen (geen toegang, defecte liften) kunnen levertijden beïnvloeden zonder service credit; wel transparante rapportage.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0"/>
        </w:numPr>
        <w:spacing w:lineRule="auto"/>
      </w:pPr>
      <w:r>
        <w:rPr/>
        <w:t xml:space="preserve">Overzicht locaties inclusief adres, laad/losinstructies, toegangspassenprocedure en contactpersonen.</w:t>
      </w:r>
    </w:p>
    <w:p>
      <w:pPr>
        <w:numPr>
          <w:ilvl w:val="0"/>
          <w:numId w:val="20"/>
        </w:numPr>
        <w:spacing w:lineRule="auto"/>
      </w:pPr>
      <w:r>
        <w:rPr/>
        <w:t xml:space="preserve">Volumeforecast per locatie (dag/week), piek- en seizoenspiekdagen, vakantie-/recessokalender.</w:t>
      </w:r>
    </w:p>
    <w:p>
      <w:pPr>
        <w:numPr>
          <w:ilvl w:val="0"/>
          <w:numId w:val="20"/>
        </w:numPr>
        <w:spacing w:lineRule="auto"/>
      </w:pPr>
      <w:r>
        <w:rPr/>
        <w:t xml:space="preserve">Beleid en standaard voor dieetprofielen; gewenste SSO/koppelingen en security-eisen.</w:t>
      </w:r>
    </w:p>
    <w:p>
      <w:pPr>
        <w:numPr>
          <w:ilvl w:val="0"/>
          <w:numId w:val="20"/>
        </w:numPr>
        <w:spacing w:lineRule="auto"/>
      </w:pPr>
      <w:r>
        <w:rPr/>
        <w:t xml:space="preserve">Keuze definitie “regionaal” indien afwijkend van 150 km/NO-NH-FL-UT; bevestiging reikwijdte bio-meting (op inkoopwaarde).</w:t>
      </w:r>
    </w:p>
    <w:p>
      <w:pPr>
        <w:numPr>
          <w:ilvl w:val="0"/>
          <w:numId w:val="20"/>
        </w:numPr>
        <w:spacing w:lineRule="auto"/>
      </w:pPr>
      <w:r>
        <w:rPr/>
        <w:t xml:space="preserve">Afspraak retourlogistiek: retourpunten, cut-off en verantwoordelijke per locatie.</w:t>
      </w:r>
    </w:p>
    <w:p>
      <w:pPr>
        <w:numPr>
          <w:ilvl w:val="0"/>
          <w:numId w:val="20"/>
        </w:numPr>
        <w:spacing w:lineRule="auto"/>
      </w:pPr>
      <w:r>
        <w:rPr/>
        <w:t xml:space="preserve">Goedkeuringsproces en termijnen voor menu’s, KPI-rapportages en wijzigingen.</w:t>
      </w:r>
    </w:p>
    <w:p>
      <w:pPr>
        <w:numPr>
          <w:ilvl w:val="0"/>
          <w:numId w:val="20"/>
        </w:numPr>
        <w:spacing w:lineRule="auto"/>
      </w:pPr>
      <w:r>
        <w:rPr/>
        <w:t xml:space="preserve">Bevestiging service credit-regeling en aansprakelijkheidslimiet.</w:t>
      </w:r>
    </w:p>
    <w:p>
      <w:pPr>
        <w:numPr>
          <w:ilvl w:val="0"/>
          <w:numId w:val="20"/>
        </w:numPr>
        <w:spacing w:lineRule="auto"/>
      </w:pPr>
      <w:r>
        <w:rPr/>
        <w:t xml:space="preserve">Ondertekende verwerkersovereenkomst AVG en contact DPO.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