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Beoordelingsmethodiek (EMVI/BPKV)</w:t>
      </w:r>
    </w:p>
    <w:p>
      <w:pPr>
        <w:pStyle w:val="Heading2"/>
        <w:spacing w:lineRule="auto"/>
      </w:pPr>
      <w:r>
        <w:rPr/>
        <w:t xml:space="preserve">Caternext B.V. — Raamovereenkomst Duurzame Catering en Bedrijfslunch 2026–2030</w:t>
      </w:r>
    </w:p>
    <w:p>
      <w:pPr>
        <w:spacing w:lineRule="auto"/>
      </w:pPr>
      <w:r>
        <w:rPr/>
        <w:t xml:space="preserve">     04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Beoordelingsmethodiek EMVI – Raamovereenkomst Duurzame Catering en Bedrijfslunch 2026–2030 (GEM-AMS-CATER-2026-014)</w:t>
      </w:r>
    </w:p>
    <w:p>
      <w:pPr>
        <w:spacing w:lineRule="auto"/>
      </w:pPr>
      <w:r>
        <w:rPr/>
        <w:t xml:space="preserve">Doel en reikwijdte Deze beoordelingsmethodiek werkt de EMVI/BPKV-criteria uit conform de eisen van de Gemeente Amsterdam voor de raamovereenkomst duurzame catering en bedrijfslunch (min. 500 couverts/dag, seizoensgebonden, 30% lokaal/regionaal, min. 25% biologisch, allergenenregistratie conform EU 1169/2011, digitaal bestelsysteem met dieetprofielen, zero-waste en foodwaste &lt; 3%, levervensters 11:00–13:30). De methodiek borgt SMART-doelstellingen en PDCA-sturing, met directe kruisverbanden W-xx ↔ KPI ↔ Risico ↔ Bewijs.</w:t>
      </w:r>
    </w:p>
    <w:p>
      <w:pPr>
        <w:spacing w:lineRule="auto"/>
      </w:pPr>
      <w:r>
        <w:rPr/>
        <w:t xml:space="preserve">Beoordelingskader en schaal</w:t>
      </w:r>
    </w:p>
    <w:p>
      <w:pPr>
        <w:numPr>
          <w:ilvl w:val="0"/>
          <w:numId w:val="1"/>
        </w:numPr>
        <w:spacing w:lineRule="auto"/>
      </w:pPr>
      <w:r>
        <w:rPr/>
        <w:t xml:space="preserve">Voorwaarden: Knock-outs zijn aantoonbaar geborgd:</w:t>
      </w:r>
    </w:p>
    <w:p>
      <w:pPr>
        <w:numPr>
          <w:ilvl w:val="1"/>
          <w:numId w:val="2"/>
        </w:numPr>
        <w:spacing w:lineRule="auto"/>
      </w:pPr>
      <w:r>
        <w:rPr/>
        <w:t xml:space="preserve">KO: HACCP/ISO 22000 geldig (Caternext B.V.: ISO 22000 en HACCP gecertificeerd).</w:t>
      </w:r>
    </w:p>
    <w:p>
      <w:pPr>
        <w:numPr>
          <w:ilvl w:val="1"/>
          <w:numId w:val="2"/>
        </w:numPr>
        <w:spacing w:lineRule="auto"/>
      </w:pPr>
      <w:r>
        <w:rPr/>
        <w:t xml:space="preserve">KO: Levercapaciteit ≥ 500 couverts/dag (Caternext operationele capaciteit &gt; 1.000 couverts/dag in Amsterdam-regio; piekbuffer uitgewerkt in W-09 en W-15).</w:t>
      </w:r>
    </w:p>
    <w:p>
      <w:pPr>
        <w:numPr>
          <w:ilvl w:val="0"/>
          <w:numId w:val="1"/>
        </w:numPr>
        <w:spacing w:lineRule="auto"/>
      </w:pPr>
      <w:r>
        <w:rPr/>
        <w:t xml:space="preserve">Beoordelingsschaal (Kwaliteit, Duurzaamheid, Risicobeheersing):</w:t>
      </w:r>
    </w:p>
    <w:p>
      <w:pPr>
        <w:numPr>
          <w:ilvl w:val="1"/>
          <w:numId w:val="3"/>
        </w:numPr>
        <w:spacing w:lineRule="auto"/>
      </w:pPr>
      <w:r>
        <w:rPr/>
        <w:t xml:space="preserve">0 = niet ingediend of niet relevant</w:t>
      </w:r>
    </w:p>
    <w:p>
      <w:pPr>
        <w:numPr>
          <w:ilvl w:val="1"/>
          <w:numId w:val="3"/>
        </w:numPr>
        <w:spacing w:lineRule="auto"/>
      </w:pPr>
      <w:r>
        <w:rPr/>
        <w:t xml:space="preserve">4 = onvoldoende; voldoet deels aan MUST-eisen, concrete borging ontbreekt</w:t>
      </w:r>
    </w:p>
    <w:p>
      <w:pPr>
        <w:numPr>
          <w:ilvl w:val="1"/>
          <w:numId w:val="3"/>
        </w:numPr>
        <w:spacing w:lineRule="auto"/>
      </w:pPr>
      <w:r>
        <w:rPr/>
        <w:t xml:space="preserve">6 = voldoet; basale borging, beperkt onderscheidend</w:t>
      </w:r>
    </w:p>
    <w:p>
      <w:pPr>
        <w:numPr>
          <w:ilvl w:val="1"/>
          <w:numId w:val="3"/>
        </w:numPr>
        <w:spacing w:lineRule="auto"/>
      </w:pPr>
      <w:r>
        <w:rPr/>
        <w:t xml:space="preserve">8 = goed; SMART en aantoonbaar, boven minimumnormen</w:t>
      </w:r>
    </w:p>
    <w:p>
      <w:pPr>
        <w:numPr>
          <w:ilvl w:val="1"/>
          <w:numId w:val="3"/>
        </w:numPr>
        <w:spacing w:lineRule="auto"/>
      </w:pPr>
      <w:r>
        <w:rPr/>
        <w:t xml:space="preserve">10 = excellent; volledig SMART, aantoonbaar onderscheidend, met bewezen prestaties en PDCA</w:t>
      </w:r>
    </w:p>
    <w:p>
      <w:pPr>
        <w:numPr>
          <w:ilvl w:val="0"/>
          <w:numId w:val="1"/>
        </w:numPr>
        <w:spacing w:lineRule="auto"/>
      </w:pPr>
      <w:r>
        <w:rPr/>
        <w:t xml:space="preserve">Prijs: lineaire normalisatie; score prijs = (laagste totaalprijs / prijs inschrijver) x 10.</w:t>
      </w:r>
    </w:p>
    <w:p>
      <w:pPr>
        <w:spacing w:lineRule="auto"/>
      </w:pPr>
      <w:r>
        <w:rPr/>
        <w:t xml:space="preserve">Beoordelingsstructuur (EMVI/BPKV) Tabel: Beoordelingsstructuur, schaal en onze invulling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Criterium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 goed eruitziet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Onze invulling (Caternext)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Gerelateerde W-xx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Kwaliteit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End-to-end borging van smaak, variatie, dieet- en allergenenveiligheid; leverbetrouwbaarheid ≥ 98% binnen 11:00–13:30; gebruiksvriendelijk digitaal bestel- en dieetprofielbeheer; transparante rapportage.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Seizoensmenu’s in 8-wekenrotatie; 100% allergenenregistratie conform EU 1169/2011; dieetprofielen in bestelsysteem met hard-controls; servicevensters met TMS-geofencing; label- en batchcontrole; wekelijkse sensorische panels; realtime dashboards voor Gemeente.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W-01, W-02, W-03, W-08, W-10, W-13, W-16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Duurzaamheid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Aantoonbaar ≥ 30% lokaal/regionaal en ≥ 25% biologisch; zero-waste verpakkingen; foodwaste &lt; 3% met weging en rapportage; CO2-reductie en hergebruik.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Commitment: lokaal/regionaal ≥ 35%, biologisch ≥ 27%; foodwaste ≤ 2,5%; herbruikbare verpakkingen met closed-loop; menu-engine minimaliseert reststromen; weegpunten per locatie; maandelijkse CO2 per couvert rapportage en reductiepad -10%/jaar.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W-04, W-05, W-06, W-07, W-11, W-16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Risicobeheersing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Volledig risicodossier met mitigerende maatregelen, scenario’s en continuïteit; 0 allergenenfouten; robuuste ICT en leveringsback-ups; CAPA-proces.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Risicoregister met top-8 risico’s; back-up keuken en bezorging; dubbel uitgevoerde kritische ingrediënten; 2u triage/24u herstel ICT; quarterly stress-tests; FMEA op allergenenstromen; 5-Why en CAPA-sprints.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W-12, W-14, W-15, W-02, W-08, W-10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(laagste/ons) ×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Transparant, marktconform, kostenefficiënt; geen verborgen kosten; scenario’s voor volumes; prijspaden en indexatie helder.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Kostprijsmodel met open calculatie; menu-engine minimaliseert dure componenten zonder kwaliteitsverlies; bundeltransport; herbruikbare verpakking reduceert TCO; indexatieformule CPI/AGF transparant.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W-01, W-06, W-07, W-08, W-16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Onze SMART-ambities gekoppeld aan SLA’s en MUST-eisen</w:t>
      </w:r>
    </w:p>
    <w:p>
      <w:pPr>
        <w:numPr>
          <w:ilvl w:val="0"/>
          <w:numId w:val="4"/>
        </w:numPr>
        <w:spacing w:lineRule="auto"/>
      </w:pPr>
      <w:r>
        <w:rPr/>
        <w:t xml:space="preserve">KPI-01 Op tijd geleverd ≥ 98% per maand per locatie, gemeten via TMS-geofencing op tijdvak 11:00–13:30 (SLA). W-08, W-15.</w:t>
      </w:r>
    </w:p>
    <w:p>
      <w:pPr>
        <w:numPr>
          <w:ilvl w:val="0"/>
          <w:numId w:val="4"/>
        </w:numPr>
        <w:spacing w:lineRule="auto"/>
      </w:pPr>
      <w:r>
        <w:rPr/>
        <w:t xml:space="preserve">KPI-02 Klanttevredenheid ≥ 8,5 (boven SLA ≥ 8,2), maandelijkse meting (n ≥ 50), met feedbackloop en verbeteracties. W-13.</w:t>
      </w:r>
    </w:p>
    <w:p>
      <w:pPr>
        <w:numPr>
          <w:ilvl w:val="0"/>
          <w:numId w:val="4"/>
        </w:numPr>
        <w:spacing w:lineRule="auto"/>
      </w:pPr>
      <w:r>
        <w:rPr/>
        <w:t xml:space="preserve">KPI-03 Allergenenfouten = 0; 100% batch-labelcontrole; 100% digitale check bij uitgifte. W-02, W-10.</w:t>
      </w:r>
    </w:p>
    <w:p>
      <w:pPr>
        <w:numPr>
          <w:ilvl w:val="0"/>
          <w:numId w:val="4"/>
        </w:numPr>
        <w:spacing w:lineRule="auto"/>
      </w:pPr>
      <w:r>
        <w:rPr/>
        <w:t xml:space="preserve">KPI-04 Foodwaste ≤ 2,5% per maand (must &lt; 3%); dagelijkse weging op drie meetmomenten; top-5 oorzaken met CAPA. W-07.</w:t>
      </w:r>
    </w:p>
    <w:p>
      <w:pPr>
        <w:numPr>
          <w:ilvl w:val="0"/>
          <w:numId w:val="4"/>
        </w:numPr>
        <w:spacing w:lineRule="auto"/>
      </w:pPr>
      <w:r>
        <w:rPr/>
        <w:t xml:space="preserve">KPI-05 Lokaal/regionaal aandeel ≥ 35% op inkoopwaarde per kwartaal; herkomstrapportages. W-04, W-11.</w:t>
      </w:r>
    </w:p>
    <w:p>
      <w:pPr>
        <w:numPr>
          <w:ilvl w:val="0"/>
          <w:numId w:val="4"/>
        </w:numPr>
        <w:spacing w:lineRule="auto"/>
      </w:pPr>
      <w:r>
        <w:rPr/>
        <w:t xml:space="preserve">KPI-06 Biologisch ≥ 27% op inkoopwaarde per kwartaal; leveranciersverklaringen/certificaten. W-05, W-11.</w:t>
      </w:r>
    </w:p>
    <w:p>
      <w:pPr>
        <w:numPr>
          <w:ilvl w:val="0"/>
          <w:numId w:val="4"/>
        </w:numPr>
        <w:spacing w:lineRule="auto"/>
      </w:pPr>
      <w:r>
        <w:rPr/>
        <w:t xml:space="preserve">KPI-07 Digitale dieetprofielen actief ≥ 95% van eters met dieetbehoefte; 100% naleving hard-controls. W-03.</w:t>
      </w:r>
    </w:p>
    <w:p>
      <w:pPr>
        <w:numPr>
          <w:ilvl w:val="0"/>
          <w:numId w:val="4"/>
        </w:numPr>
        <w:spacing w:lineRule="auto"/>
      </w:pPr>
      <w:r>
        <w:rPr/>
        <w:t xml:space="preserve">KPI-08 First response klachten ≤ 2 uur; definitieve oplossing ≤ 24 uur; 100% root-cause geregistreerd. W-14.</w:t>
      </w:r>
    </w:p>
    <w:p>
      <w:pPr>
        <w:numPr>
          <w:ilvl w:val="0"/>
          <w:numId w:val="4"/>
        </w:numPr>
        <w:spacing w:lineRule="auto"/>
      </w:pPr>
      <w:r>
        <w:rPr/>
        <w:t xml:space="preserve">KPI-09 CO2 per couvert: baseline Q1, reductie ≥ 10% EoY via menu-optimalisatie en bundeltransport. W-06, W-08, W-16.</w:t>
      </w:r>
    </w:p>
    <w:p>
      <w:pPr>
        <w:spacing w:lineRule="auto"/>
      </w:pPr>
      <w:r>
        <w:rPr/>
        <w:t xml:space="preserve">PDCA-aanpak (borging en continue verbetering)</w:t>
      </w:r>
    </w:p>
    <w:p>
      <w:pPr>
        <w:numPr>
          <w:ilvl w:val="0"/>
          <w:numId w:val="5"/>
        </w:numPr>
        <w:spacing w:lineRule="auto"/>
      </w:pPr>
      <w:r>
        <w:rPr/>
        <w:t xml:space="preserve">Plan:</w:t>
      </w:r>
    </w:p>
    <w:p>
      <w:pPr>
        <w:numPr>
          <w:ilvl w:val="1"/>
          <w:numId w:val="6"/>
        </w:numPr>
        <w:spacing w:lineRule="auto"/>
      </w:pPr>
      <w:r>
        <w:rPr/>
        <w:t xml:space="preserve">W-01 t/m W-07 ontwerp en inrichting: seizoensmenu’s, dieet- en allergenenproces, zero-waste, leveranciersmapping voor 35% lokaal/27% biologisch.</w:t>
      </w:r>
    </w:p>
    <w:p>
      <w:pPr>
        <w:numPr>
          <w:ilvl w:val="1"/>
          <w:numId w:val="6"/>
        </w:numPr>
        <w:spacing w:lineRule="auto"/>
      </w:pPr>
      <w:r>
        <w:rPr/>
        <w:t xml:space="preserve">Baselines: KPI-04 waste, KPI-09 CO2, KPI-02 klanttevredenheid, KPI-01 punctualiteit.</w:t>
      </w:r>
    </w:p>
    <w:p>
      <w:pPr>
        <w:numPr>
          <w:ilvl w:val="1"/>
          <w:numId w:val="6"/>
        </w:numPr>
        <w:spacing w:lineRule="auto"/>
      </w:pPr>
      <w:r>
        <w:rPr/>
        <w:t xml:space="preserve">Risicodossier met FMEA en scenario’s (W-12, W-15).</w:t>
      </w:r>
    </w:p>
    <w:p>
      <w:pPr>
        <w:numPr>
          <w:ilvl w:val="0"/>
          <w:numId w:val="5"/>
        </w:numPr>
        <w:spacing w:lineRule="auto"/>
      </w:pPr>
      <w:r>
        <w:rPr/>
        <w:t xml:space="preserve">Do:</w:t>
      </w:r>
    </w:p>
    <w:p>
      <w:pPr>
        <w:numPr>
          <w:ilvl w:val="1"/>
          <w:numId w:val="7"/>
        </w:numPr>
        <w:spacing w:lineRule="auto"/>
      </w:pPr>
      <w:r>
        <w:rPr/>
        <w:t xml:space="preserve">Gefaseerde uitrol per locatie; training teams op allergenen, labeling en zero-waste (W-10).</w:t>
      </w:r>
    </w:p>
    <w:p>
      <w:pPr>
        <w:numPr>
          <w:ilvl w:val="1"/>
          <w:numId w:val="7"/>
        </w:numPr>
        <w:spacing w:lineRule="auto"/>
      </w:pPr>
      <w:r>
        <w:rPr/>
        <w:t xml:space="preserve">Implementatie bestel- en dieetprofielen (W-03), TMS-geofencing (W-08), closed-loop verpakking (W-06).</w:t>
      </w:r>
    </w:p>
    <w:p>
      <w:pPr>
        <w:numPr>
          <w:ilvl w:val="0"/>
          <w:numId w:val="5"/>
        </w:numPr>
        <w:spacing w:lineRule="auto"/>
      </w:pPr>
      <w:r>
        <w:rPr/>
        <w:t xml:space="preserve">Check:</w:t>
      </w:r>
    </w:p>
    <w:p>
      <w:pPr>
        <w:numPr>
          <w:ilvl w:val="1"/>
          <w:numId w:val="8"/>
        </w:numPr>
        <w:spacing w:lineRule="auto"/>
      </w:pPr>
      <w:r>
        <w:rPr/>
        <w:t xml:space="preserve">Wekelijkse waste- en allergenen-audit; maandrapportage KPI’s in dashboard (W-16); steekproeven label/batch.</w:t>
      </w:r>
    </w:p>
    <w:p>
      <w:pPr>
        <w:numPr>
          <w:ilvl w:val="1"/>
          <w:numId w:val="8"/>
        </w:numPr>
        <w:spacing w:lineRule="auto"/>
      </w:pPr>
      <w:r>
        <w:rPr/>
        <w:t xml:space="preserve">Kwartaalreview met opdrachtgever: prestatie, risico’s, CAPA voortgang.</w:t>
      </w:r>
    </w:p>
    <w:p>
      <w:pPr>
        <w:numPr>
          <w:ilvl w:val="0"/>
          <w:numId w:val="5"/>
        </w:numPr>
        <w:spacing w:lineRule="auto"/>
      </w:pPr>
      <w:r>
        <w:rPr/>
        <w:t xml:space="preserve">Act:</w:t>
      </w:r>
    </w:p>
    <w:p>
      <w:pPr>
        <w:numPr>
          <w:ilvl w:val="1"/>
          <w:numId w:val="9"/>
        </w:numPr>
        <w:spacing w:lineRule="auto"/>
      </w:pPr>
      <w:r>
        <w:rPr/>
        <w:t xml:space="preserve">5-Why en CAPA-sprints (2-wekelijks) voor overschrijdingen; menu-aanpassingen; leverancieroptimalisaties; logistieke herroutering.</w:t>
      </w:r>
    </w:p>
    <w:p>
      <w:pPr>
        <w:numPr>
          <w:ilvl w:val="1"/>
          <w:numId w:val="9"/>
        </w:numPr>
        <w:spacing w:lineRule="auto"/>
      </w:pPr>
      <w:r>
        <w:rPr/>
        <w:t xml:space="preserve">Jaarlijks verbeterprogramma met doelverhoging waar haalbaar (bijv. lokaal +1–2%-punt/jaar).</w:t>
      </w:r>
    </w:p>
    <w:p>
      <w:pPr>
        <w:spacing w:lineRule="auto"/>
      </w:pPr>
      <w:r>
        <w:rPr/>
        <w:t xml:space="preserve">Kruisverbanden W-xx ↔ KPI ↔ Risico ↔ Bewijs</w:t>
      </w:r>
    </w:p>
    <w:p>
      <w:pPr>
        <w:numPr>
          <w:ilvl w:val="0"/>
          <w:numId w:val="10"/>
        </w:numPr>
        <w:spacing w:lineRule="auto"/>
      </w:pPr>
      <w:r>
        <w:rPr/>
        <w:t xml:space="preserve">W-01 Menu-engine &amp; seizoensrotatie</w:t>
      </w:r>
    </w:p>
    <w:p>
      <w:pPr>
        <w:numPr>
          <w:ilvl w:val="1"/>
          <w:numId w:val="11"/>
        </w:numPr>
        <w:spacing w:lineRule="auto"/>
      </w:pPr>
      <w:r>
        <w:rPr/>
        <w:t xml:space="preserve">KPI: KPI-02, KPI-04, KPI-09</w:t>
      </w:r>
    </w:p>
    <w:p>
      <w:pPr>
        <w:numPr>
          <w:ilvl w:val="1"/>
          <w:numId w:val="11"/>
        </w:numPr>
        <w:spacing w:lineRule="auto"/>
      </w:pPr>
      <w:r>
        <w:rPr/>
        <w:t xml:space="preserve">Risico: R-07 kwaliteitsvariatie, R-06 waste</w:t>
      </w:r>
    </w:p>
    <w:p>
      <w:pPr>
        <w:numPr>
          <w:ilvl w:val="1"/>
          <w:numId w:val="11"/>
        </w:numPr>
        <w:spacing w:lineRule="auto"/>
      </w:pPr>
      <w:r>
        <w:rPr/>
        <w:t xml:space="preserve">Bewijs: menucycli, recepturen, sensorische panelverslagen</w:t>
      </w:r>
    </w:p>
    <w:p>
      <w:pPr>
        <w:numPr>
          <w:ilvl w:val="0"/>
          <w:numId w:val="10"/>
        </w:numPr>
        <w:spacing w:lineRule="auto"/>
      </w:pPr>
      <w:r>
        <w:rPr/>
        <w:t xml:space="preserve">W-02 Allergenenbeheer EU 1169/2011</w:t>
      </w:r>
    </w:p>
    <w:p>
      <w:pPr>
        <w:numPr>
          <w:ilvl w:val="1"/>
          <w:numId w:val="12"/>
        </w:numPr>
        <w:spacing w:lineRule="auto"/>
      </w:pPr>
      <w:r>
        <w:rPr/>
        <w:t xml:space="preserve">KPI: KPI-03, KPI-02</w:t>
      </w:r>
    </w:p>
    <w:p>
      <w:pPr>
        <w:numPr>
          <w:ilvl w:val="1"/>
          <w:numId w:val="12"/>
        </w:numPr>
        <w:spacing w:lineRule="auto"/>
      </w:pPr>
      <w:r>
        <w:rPr/>
        <w:t xml:space="preserve">Risico: R-02 allergenenfout</w:t>
      </w:r>
    </w:p>
    <w:p>
      <w:pPr>
        <w:numPr>
          <w:ilvl w:val="1"/>
          <w:numId w:val="12"/>
        </w:numPr>
        <w:spacing w:lineRule="auto"/>
      </w:pPr>
      <w:r>
        <w:rPr/>
        <w:t xml:space="preserve">Bewijs: labels, digitale allergenenlog, auditrapporten</w:t>
      </w:r>
    </w:p>
    <w:p>
      <w:pPr>
        <w:numPr>
          <w:ilvl w:val="0"/>
          <w:numId w:val="10"/>
        </w:numPr>
        <w:spacing w:lineRule="auto"/>
      </w:pPr>
      <w:r>
        <w:rPr/>
        <w:t xml:space="preserve">W-03 Dieetprofielen &amp; bestelsysteem</w:t>
      </w:r>
    </w:p>
    <w:p>
      <w:pPr>
        <w:numPr>
          <w:ilvl w:val="1"/>
          <w:numId w:val="13"/>
        </w:numPr>
        <w:spacing w:lineRule="auto"/>
      </w:pPr>
      <w:r>
        <w:rPr/>
        <w:t xml:space="preserve">KPI: KPI-07, KPI-02</w:t>
      </w:r>
    </w:p>
    <w:p>
      <w:pPr>
        <w:numPr>
          <w:ilvl w:val="1"/>
          <w:numId w:val="13"/>
        </w:numPr>
        <w:spacing w:lineRule="auto"/>
      </w:pPr>
      <w:r>
        <w:rPr/>
        <w:t xml:space="preserve">Risico: R-04 systeemstoring</w:t>
      </w:r>
    </w:p>
    <w:p>
      <w:pPr>
        <w:numPr>
          <w:ilvl w:val="1"/>
          <w:numId w:val="13"/>
        </w:numPr>
        <w:spacing w:lineRule="auto"/>
      </w:pPr>
      <w:r>
        <w:rPr/>
        <w:t xml:space="preserve">Bewijs: systeem-screenshots, uptime-rapporten, acceptatietesten</w:t>
      </w:r>
    </w:p>
    <w:p>
      <w:pPr>
        <w:numPr>
          <w:ilvl w:val="0"/>
          <w:numId w:val="10"/>
        </w:numPr>
        <w:spacing w:lineRule="auto"/>
      </w:pPr>
      <w:r>
        <w:rPr/>
        <w:t xml:space="preserve">W-04 Lokaal/regionaal inkoopprogramma (≥ 35%)</w:t>
      </w:r>
    </w:p>
    <w:p>
      <w:pPr>
        <w:numPr>
          <w:ilvl w:val="1"/>
          <w:numId w:val="14"/>
        </w:numPr>
        <w:spacing w:lineRule="auto"/>
      </w:pPr>
      <w:r>
        <w:rPr/>
        <w:t xml:space="preserve">KPI: KPI-05</w:t>
      </w:r>
    </w:p>
    <w:p>
      <w:pPr>
        <w:numPr>
          <w:ilvl w:val="1"/>
          <w:numId w:val="14"/>
        </w:numPr>
        <w:spacing w:lineRule="auto"/>
      </w:pPr>
      <w:r>
        <w:rPr/>
        <w:t xml:space="preserve">Risico: R-03 beschikbaarheid</w:t>
      </w:r>
    </w:p>
    <w:p>
      <w:pPr>
        <w:numPr>
          <w:ilvl w:val="1"/>
          <w:numId w:val="14"/>
        </w:numPr>
        <w:spacing w:lineRule="auto"/>
      </w:pPr>
      <w:r>
        <w:rPr/>
        <w:t xml:space="preserve">Bewijs: inkooprapporten met herkomst, leveranciersverklaringen</w:t>
      </w:r>
    </w:p>
    <w:p>
      <w:pPr>
        <w:numPr>
          <w:ilvl w:val="0"/>
          <w:numId w:val="10"/>
        </w:numPr>
        <w:spacing w:lineRule="auto"/>
      </w:pPr>
      <w:r>
        <w:rPr/>
        <w:t xml:space="preserve">W-05 Biologisch inkoopprogramma (≥ 27%)</w:t>
      </w:r>
    </w:p>
    <w:p>
      <w:pPr>
        <w:numPr>
          <w:ilvl w:val="1"/>
          <w:numId w:val="15"/>
        </w:numPr>
        <w:spacing w:lineRule="auto"/>
      </w:pPr>
      <w:r>
        <w:rPr/>
        <w:t xml:space="preserve">KPI: KPI-06</w:t>
      </w:r>
    </w:p>
    <w:p>
      <w:pPr>
        <w:numPr>
          <w:ilvl w:val="1"/>
          <w:numId w:val="15"/>
        </w:numPr>
        <w:spacing w:lineRule="auto"/>
      </w:pPr>
      <w:r>
        <w:rPr/>
        <w:t xml:space="preserve">Risico: R-03 beschikbaarheid</w:t>
      </w:r>
    </w:p>
    <w:p>
      <w:pPr>
        <w:numPr>
          <w:ilvl w:val="1"/>
          <w:numId w:val="15"/>
        </w:numPr>
        <w:spacing w:lineRule="auto"/>
      </w:pPr>
      <w:r>
        <w:rPr/>
        <w:t xml:space="preserve">Bewijs: leverancierscertificaten/verklaringen, inkoopdata</w:t>
      </w:r>
    </w:p>
    <w:p>
      <w:pPr>
        <w:numPr>
          <w:ilvl w:val="0"/>
          <w:numId w:val="10"/>
        </w:numPr>
        <w:spacing w:lineRule="auto"/>
      </w:pPr>
      <w:r>
        <w:rPr/>
        <w:t xml:space="preserve">W-06 Zero-waste en herbruikbare verpakkingen</w:t>
      </w:r>
    </w:p>
    <w:p>
      <w:pPr>
        <w:numPr>
          <w:ilvl w:val="1"/>
          <w:numId w:val="16"/>
        </w:numPr>
        <w:spacing w:lineRule="auto"/>
      </w:pPr>
      <w:r>
        <w:rPr/>
        <w:t xml:space="preserve">KPI: KPI-04, KPI-09</w:t>
      </w:r>
    </w:p>
    <w:p>
      <w:pPr>
        <w:numPr>
          <w:ilvl w:val="1"/>
          <w:numId w:val="16"/>
        </w:numPr>
        <w:spacing w:lineRule="auto"/>
      </w:pPr>
      <w:r>
        <w:rPr/>
        <w:t xml:space="preserve">Risico: R-06 afvalscheiding faalt</w:t>
      </w:r>
    </w:p>
    <w:p>
      <w:pPr>
        <w:numPr>
          <w:ilvl w:val="1"/>
          <w:numId w:val="16"/>
        </w:numPr>
        <w:spacing w:lineRule="auto"/>
      </w:pPr>
      <w:r>
        <w:rPr/>
        <w:t xml:space="preserve">Bewijs: logistieke SOP’s, retour- en waslogs, CO2-berekeningen</w:t>
      </w:r>
    </w:p>
    <w:p>
      <w:pPr>
        <w:numPr>
          <w:ilvl w:val="0"/>
          <w:numId w:val="10"/>
        </w:numPr>
        <w:spacing w:lineRule="auto"/>
      </w:pPr>
      <w:r>
        <w:rPr/>
        <w:t xml:space="preserve">W-07 Foodwaste-reductieproces</w:t>
      </w:r>
    </w:p>
    <w:p>
      <w:pPr>
        <w:numPr>
          <w:ilvl w:val="1"/>
          <w:numId w:val="17"/>
        </w:numPr>
        <w:spacing w:lineRule="auto"/>
      </w:pPr>
      <w:r>
        <w:rPr/>
        <w:t xml:space="preserve">KPI: KPI-04</w:t>
      </w:r>
    </w:p>
    <w:p>
      <w:pPr>
        <w:numPr>
          <w:ilvl w:val="1"/>
          <w:numId w:val="17"/>
        </w:numPr>
        <w:spacing w:lineRule="auto"/>
      </w:pPr>
      <w:r>
        <w:rPr/>
        <w:t xml:space="preserve">Risico: R-06</w:t>
      </w:r>
    </w:p>
    <w:p>
      <w:pPr>
        <w:numPr>
          <w:ilvl w:val="1"/>
          <w:numId w:val="17"/>
        </w:numPr>
        <w:spacing w:lineRule="auto"/>
      </w:pPr>
      <w:r>
        <w:rPr/>
        <w:t xml:space="preserve">Bewijs: weegbonnen, dashboard-screens, CAPA’s</w:t>
      </w:r>
    </w:p>
    <w:p>
      <w:pPr>
        <w:numPr>
          <w:ilvl w:val="0"/>
          <w:numId w:val="10"/>
        </w:numPr>
        <w:spacing w:lineRule="auto"/>
      </w:pPr>
      <w:r>
        <w:rPr/>
        <w:t xml:space="preserve">W-08 Logistieke planning multi-locatie (11:00–13:30)</w:t>
      </w:r>
    </w:p>
    <w:p>
      <w:pPr>
        <w:numPr>
          <w:ilvl w:val="1"/>
          <w:numId w:val="18"/>
        </w:numPr>
        <w:spacing w:lineRule="auto"/>
      </w:pPr>
      <w:r>
        <w:rPr/>
        <w:t xml:space="preserve">KPI: KPI-01, KPI-09</w:t>
      </w:r>
    </w:p>
    <w:p>
      <w:pPr>
        <w:numPr>
          <w:ilvl w:val="1"/>
          <w:numId w:val="18"/>
        </w:numPr>
        <w:spacing w:lineRule="auto"/>
      </w:pPr>
      <w:r>
        <w:rPr/>
        <w:t xml:space="preserve">Risico: R-01 te late levering, R-08 transportverstoring</w:t>
      </w:r>
    </w:p>
    <w:p>
      <w:pPr>
        <w:numPr>
          <w:ilvl w:val="1"/>
          <w:numId w:val="18"/>
        </w:numPr>
        <w:spacing w:lineRule="auto"/>
      </w:pPr>
      <w:r>
        <w:rPr/>
        <w:t xml:space="preserve">Bewijs: TMS-export, geofencing logs, rittenplan</w:t>
      </w:r>
    </w:p>
    <w:p>
      <w:pPr>
        <w:numPr>
          <w:ilvl w:val="0"/>
          <w:numId w:val="10"/>
        </w:numPr>
        <w:spacing w:lineRule="auto"/>
      </w:pPr>
      <w:r>
        <w:rPr/>
        <w:t xml:space="preserve">W-09 Capaciteitsborging ≥ 500 couverts</w:t>
      </w:r>
    </w:p>
    <w:p>
      <w:pPr>
        <w:numPr>
          <w:ilvl w:val="1"/>
          <w:numId w:val="19"/>
        </w:numPr>
        <w:spacing w:lineRule="auto"/>
      </w:pPr>
      <w:r>
        <w:rPr/>
        <w:t xml:space="preserve">KPI: KPI-01</w:t>
      </w:r>
    </w:p>
    <w:p>
      <w:pPr>
        <w:numPr>
          <w:ilvl w:val="1"/>
          <w:numId w:val="19"/>
        </w:numPr>
        <w:spacing w:lineRule="auto"/>
      </w:pPr>
      <w:r>
        <w:rPr/>
        <w:t xml:space="preserve">Risico: R-05 capaciteitspiek</w:t>
      </w:r>
    </w:p>
    <w:p>
      <w:pPr>
        <w:numPr>
          <w:ilvl w:val="1"/>
          <w:numId w:val="19"/>
        </w:numPr>
        <w:spacing w:lineRule="auto"/>
      </w:pPr>
      <w:r>
        <w:rPr/>
        <w:t xml:space="preserve">Bewijs: personeelsroosters, productieplannen, piekscenario’s</w:t>
      </w:r>
    </w:p>
    <w:p>
      <w:pPr>
        <w:numPr>
          <w:ilvl w:val="0"/>
          <w:numId w:val="10"/>
        </w:numPr>
        <w:spacing w:lineRule="auto"/>
      </w:pPr>
      <w:r>
        <w:rPr/>
        <w:t xml:space="preserve">W-10 Kwaliteitsborging ISO 22000/HACCP</w:t>
      </w:r>
    </w:p>
    <w:p>
      <w:pPr>
        <w:numPr>
          <w:ilvl w:val="1"/>
          <w:numId w:val="20"/>
        </w:numPr>
        <w:spacing w:lineRule="auto"/>
      </w:pPr>
      <w:r>
        <w:rPr/>
        <w:t xml:space="preserve">KPI: KPI-03, KPI-02</w:t>
      </w:r>
    </w:p>
    <w:p>
      <w:pPr>
        <w:numPr>
          <w:ilvl w:val="1"/>
          <w:numId w:val="20"/>
        </w:numPr>
        <w:spacing w:lineRule="auto"/>
      </w:pPr>
      <w:r>
        <w:rPr/>
        <w:t xml:space="preserve">Risico: R-07</w:t>
      </w:r>
    </w:p>
    <w:p>
      <w:pPr>
        <w:numPr>
          <w:ilvl w:val="1"/>
          <w:numId w:val="20"/>
        </w:numPr>
        <w:spacing w:lineRule="auto"/>
      </w:pPr>
      <w:r>
        <w:rPr/>
        <w:t xml:space="preserve">Bewijs: certificaten, interne auditplannen, opleidingsregister</w:t>
      </w:r>
    </w:p>
    <w:p>
      <w:pPr>
        <w:numPr>
          <w:ilvl w:val="0"/>
          <w:numId w:val="10"/>
        </w:numPr>
        <w:spacing w:lineRule="auto"/>
      </w:pPr>
      <w:r>
        <w:rPr/>
        <w:t xml:space="preserve">W-11 Leveranciersmanagement &amp; traceerbaarheid</w:t>
      </w:r>
    </w:p>
    <w:p>
      <w:pPr>
        <w:numPr>
          <w:ilvl w:val="1"/>
          <w:numId w:val="21"/>
        </w:numPr>
        <w:spacing w:lineRule="auto"/>
      </w:pPr>
      <w:r>
        <w:rPr/>
        <w:t xml:space="preserve">KPI: KPI-05, KPI-06</w:t>
      </w:r>
    </w:p>
    <w:p>
      <w:pPr>
        <w:numPr>
          <w:ilvl w:val="1"/>
          <w:numId w:val="21"/>
        </w:numPr>
        <w:spacing w:lineRule="auto"/>
      </w:pPr>
      <w:r>
        <w:rPr/>
        <w:t xml:space="preserve">Risico: R-03</w:t>
      </w:r>
    </w:p>
    <w:p>
      <w:pPr>
        <w:numPr>
          <w:ilvl w:val="1"/>
          <w:numId w:val="21"/>
        </w:numPr>
        <w:spacing w:lineRule="auto"/>
      </w:pPr>
      <w:r>
        <w:rPr/>
        <w:t xml:space="preserve">Bewijs: leveranciersbeoordelingen, traceerbaarheidsrapporten</w:t>
      </w:r>
    </w:p>
    <w:p>
      <w:pPr>
        <w:numPr>
          <w:ilvl w:val="0"/>
          <w:numId w:val="10"/>
        </w:numPr>
        <w:spacing w:lineRule="auto"/>
      </w:pPr>
      <w:r>
        <w:rPr/>
        <w:t xml:space="preserve">W-12 PDCA-governance &amp; risicodossier</w:t>
      </w:r>
    </w:p>
    <w:p>
      <w:pPr>
        <w:numPr>
          <w:ilvl w:val="1"/>
          <w:numId w:val="22"/>
        </w:numPr>
        <w:spacing w:lineRule="auto"/>
      </w:pPr>
      <w:r>
        <w:rPr/>
        <w:t xml:space="preserve">KPI: alle</w:t>
      </w:r>
    </w:p>
    <w:p>
      <w:pPr>
        <w:numPr>
          <w:ilvl w:val="1"/>
          <w:numId w:val="22"/>
        </w:numPr>
        <w:spacing w:lineRule="auto"/>
      </w:pPr>
      <w:r>
        <w:rPr/>
        <w:t xml:space="preserve">Risico: alle (kader)</w:t>
      </w:r>
    </w:p>
    <w:p>
      <w:pPr>
        <w:numPr>
          <w:ilvl w:val="1"/>
          <w:numId w:val="22"/>
        </w:numPr>
        <w:spacing w:lineRule="auto"/>
      </w:pPr>
      <w:r>
        <w:rPr/>
        <w:t xml:space="preserve">Bewijs: risicoregister, QBR-notulen, verbeterbacklog</w:t>
      </w:r>
    </w:p>
    <w:p>
      <w:pPr>
        <w:numPr>
          <w:ilvl w:val="0"/>
          <w:numId w:val="10"/>
        </w:numPr>
        <w:spacing w:lineRule="auto"/>
      </w:pPr>
      <w:r>
        <w:rPr/>
        <w:t xml:space="preserve">W-13 Klanttevredenheid en feedbackloop</w:t>
      </w:r>
    </w:p>
    <w:p>
      <w:pPr>
        <w:numPr>
          <w:ilvl w:val="1"/>
          <w:numId w:val="23"/>
        </w:numPr>
        <w:spacing w:lineRule="auto"/>
      </w:pPr>
      <w:r>
        <w:rPr/>
        <w:t xml:space="preserve">KPI: KPI-02, KPI-08</w:t>
      </w:r>
    </w:p>
    <w:p>
      <w:pPr>
        <w:numPr>
          <w:ilvl w:val="1"/>
          <w:numId w:val="23"/>
        </w:numPr>
        <w:spacing w:lineRule="auto"/>
      </w:pPr>
      <w:r>
        <w:rPr/>
        <w:t xml:space="preserve">Risico: R-07 serviceperceptie</w:t>
      </w:r>
    </w:p>
    <w:p>
      <w:pPr>
        <w:numPr>
          <w:ilvl w:val="1"/>
          <w:numId w:val="23"/>
        </w:numPr>
        <w:spacing w:lineRule="auto"/>
      </w:pPr>
      <w:r>
        <w:rPr/>
        <w:t xml:space="preserve">Bewijs: enquête-uitkomsten, actielijsten</w:t>
      </w:r>
    </w:p>
    <w:p>
      <w:pPr>
        <w:numPr>
          <w:ilvl w:val="0"/>
          <w:numId w:val="10"/>
        </w:numPr>
        <w:spacing w:lineRule="auto"/>
      </w:pPr>
      <w:r>
        <w:rPr/>
        <w:t xml:space="preserve">W-14 Incident- en klachtenafhandeling 2u/24u</w:t>
      </w:r>
    </w:p>
    <w:p>
      <w:pPr>
        <w:numPr>
          <w:ilvl w:val="1"/>
          <w:numId w:val="24"/>
        </w:numPr>
        <w:spacing w:lineRule="auto"/>
      </w:pPr>
      <w:r>
        <w:rPr/>
        <w:t xml:space="preserve">KPI: KPI-08, KPI-03</w:t>
      </w:r>
    </w:p>
    <w:p>
      <w:pPr>
        <w:numPr>
          <w:ilvl w:val="1"/>
          <w:numId w:val="24"/>
        </w:numPr>
        <w:spacing w:lineRule="auto"/>
      </w:pPr>
      <w:r>
        <w:rPr/>
        <w:t xml:space="preserve">Risico: R-02, R-04</w:t>
      </w:r>
    </w:p>
    <w:p>
      <w:pPr>
        <w:numPr>
          <w:ilvl w:val="1"/>
          <w:numId w:val="24"/>
        </w:numPr>
        <w:spacing w:lineRule="auto"/>
      </w:pPr>
      <w:r>
        <w:rPr/>
        <w:t xml:space="preserve">Bewijs: incidentregister, responstijden, RCA’s</w:t>
      </w:r>
    </w:p>
    <w:p>
      <w:pPr>
        <w:numPr>
          <w:ilvl w:val="0"/>
          <w:numId w:val="10"/>
        </w:numPr>
        <w:spacing w:lineRule="auto"/>
      </w:pPr>
      <w:r>
        <w:rPr/>
        <w:t xml:space="preserve">W-15 Continuïteit: back-up keuken/bezorging</w:t>
      </w:r>
    </w:p>
    <w:p>
      <w:pPr>
        <w:numPr>
          <w:ilvl w:val="1"/>
          <w:numId w:val="25"/>
        </w:numPr>
        <w:spacing w:lineRule="auto"/>
      </w:pPr>
      <w:r>
        <w:rPr/>
        <w:t xml:space="preserve">KPI: KPI-01</w:t>
      </w:r>
    </w:p>
    <w:p>
      <w:pPr>
        <w:numPr>
          <w:ilvl w:val="1"/>
          <w:numId w:val="25"/>
        </w:numPr>
        <w:spacing w:lineRule="auto"/>
      </w:pPr>
      <w:r>
        <w:rPr/>
        <w:t xml:space="preserve">Risico: R-01, R-08, R-05</w:t>
      </w:r>
    </w:p>
    <w:p>
      <w:pPr>
        <w:numPr>
          <w:ilvl w:val="1"/>
          <w:numId w:val="25"/>
        </w:numPr>
        <w:spacing w:lineRule="auto"/>
      </w:pPr>
      <w:r>
        <w:rPr/>
        <w:t xml:space="preserve">Bewijs: continuïteitsplan, contracten back-up partners</w:t>
      </w:r>
    </w:p>
    <w:p>
      <w:pPr>
        <w:numPr>
          <w:ilvl w:val="0"/>
          <w:numId w:val="10"/>
        </w:numPr>
        <w:spacing w:lineRule="auto"/>
      </w:pPr>
      <w:r>
        <w:rPr/>
        <w:t xml:space="preserve">W-16 Rapportage &amp; dashboards (realtime)</w:t>
      </w:r>
    </w:p>
    <w:p>
      <w:pPr>
        <w:numPr>
          <w:ilvl w:val="1"/>
          <w:numId w:val="26"/>
        </w:numPr>
        <w:spacing w:lineRule="auto"/>
      </w:pPr>
      <w:r>
        <w:rPr/>
        <w:t xml:space="preserve">KPI: alle, expliciet 01,03,04,05,06,09</w:t>
      </w:r>
    </w:p>
    <w:p>
      <w:pPr>
        <w:numPr>
          <w:ilvl w:val="1"/>
          <w:numId w:val="26"/>
        </w:numPr>
        <w:spacing w:lineRule="auto"/>
      </w:pPr>
      <w:r>
        <w:rPr/>
        <w:t xml:space="preserve">Risico: datagaps</w:t>
      </w:r>
    </w:p>
    <w:p>
      <w:pPr>
        <w:numPr>
          <w:ilvl w:val="1"/>
          <w:numId w:val="26"/>
        </w:numPr>
        <w:spacing w:lineRule="auto"/>
      </w:pPr>
      <w:r>
        <w:rPr/>
        <w:t xml:space="preserve">Bewijs: dashboardtoegang, datamonsters, API-documentatie</w:t>
      </w:r>
    </w:p>
    <w:p>
      <w:pPr>
        <w:spacing w:lineRule="auto"/>
      </w:pPr>
      <w:r>
        <w:rPr/>
        <w:t xml:space="preserve">Wat goed eruitziet per criterium (verdieping)</w:t>
      </w:r>
    </w:p>
    <w:p>
      <w:pPr>
        <w:numPr>
          <w:ilvl w:val="0"/>
          <w:numId w:val="27"/>
        </w:numPr>
        <w:spacing w:lineRule="auto"/>
      </w:pPr>
      <w:r>
        <w:rPr/>
        <w:t xml:space="preserve">Kwaliteit:</w:t>
      </w:r>
    </w:p>
    <w:p>
      <w:pPr>
        <w:numPr>
          <w:ilvl w:val="1"/>
          <w:numId w:val="28"/>
        </w:numPr>
        <w:spacing w:lineRule="auto"/>
      </w:pPr>
      <w:r>
        <w:rPr/>
        <w:t xml:space="preserve">Aantoonbare nul-fouten op allergenen (KPI-03 = 0), met dubbele controle (etiket + digitale check).</w:t>
      </w:r>
    </w:p>
    <w:p>
      <w:pPr>
        <w:numPr>
          <w:ilvl w:val="1"/>
          <w:numId w:val="28"/>
        </w:numPr>
        <w:spacing w:lineRule="auto"/>
      </w:pPr>
      <w:r>
        <w:rPr/>
        <w:t xml:space="preserve">Leverbetrouwbaarheid ≥ 98% per locatie per maand; afwijkingen met RCA en plan van aanpak binnen 5 werkdagen.</w:t>
      </w:r>
    </w:p>
    <w:p>
      <w:pPr>
        <w:numPr>
          <w:ilvl w:val="1"/>
          <w:numId w:val="28"/>
        </w:numPr>
        <w:spacing w:lineRule="auto"/>
      </w:pPr>
      <w:r>
        <w:rPr/>
        <w:t xml:space="preserve">Gebruikersgemak: ≤ 3 klikken voor dieetprofiel en keuze; toegankelijkheid WCAG-niveau toepasbaar op portaal.</w:t>
      </w:r>
    </w:p>
    <w:p>
      <w:pPr>
        <w:numPr>
          <w:ilvl w:val="1"/>
          <w:numId w:val="28"/>
        </w:numPr>
        <w:spacing w:lineRule="auto"/>
      </w:pPr>
      <w:r>
        <w:rPr/>
        <w:t xml:space="preserve">Evidence-based variatie: min. 20% rotatie per week binnen 8-wekenmenu’s zonder herhaling.</w:t>
      </w:r>
    </w:p>
    <w:p>
      <w:pPr>
        <w:numPr>
          <w:ilvl w:val="0"/>
          <w:numId w:val="27"/>
        </w:numPr>
        <w:spacing w:lineRule="auto"/>
      </w:pPr>
      <w:r>
        <w:rPr/>
        <w:t xml:space="preserve">Duurzaamheid:</w:t>
      </w:r>
    </w:p>
    <w:p>
      <w:pPr>
        <w:numPr>
          <w:ilvl w:val="1"/>
          <w:numId w:val="29"/>
        </w:numPr>
        <w:spacing w:lineRule="auto"/>
      </w:pPr>
      <w:r>
        <w:rPr/>
        <w:t xml:space="preserve">Inkoopdashboards met herkomst per ingrediënt; lokaal/regionaal ≥ 35% en biologisch ≥ 27% elk kwartaal aantoonbaar.</w:t>
      </w:r>
    </w:p>
    <w:p>
      <w:pPr>
        <w:numPr>
          <w:ilvl w:val="1"/>
          <w:numId w:val="29"/>
        </w:numPr>
        <w:spacing w:lineRule="auto"/>
      </w:pPr>
      <w:r>
        <w:rPr/>
        <w:t xml:space="preserve">Foodwaste ≤ 2,5% met weging op ontvangst, bereiding en uitgifte; herbestemming reststromen conform ladder van Moerman.</w:t>
      </w:r>
    </w:p>
    <w:p>
      <w:pPr>
        <w:numPr>
          <w:ilvl w:val="1"/>
          <w:numId w:val="29"/>
        </w:numPr>
        <w:spacing w:lineRule="auto"/>
      </w:pPr>
      <w:r>
        <w:rPr/>
        <w:t xml:space="preserve">Zero-waste: 100% herbruikbaar waar toegestaan; single-use alleen waar voedselveiligheid dit vereist, met compensatieplan.</w:t>
      </w:r>
    </w:p>
    <w:p>
      <w:pPr>
        <w:numPr>
          <w:ilvl w:val="0"/>
          <w:numId w:val="27"/>
        </w:numPr>
        <w:spacing w:lineRule="auto"/>
      </w:pPr>
      <w:r>
        <w:rPr/>
        <w:t xml:space="preserve">Risicobeheersing:</w:t>
      </w:r>
    </w:p>
    <w:p>
      <w:pPr>
        <w:numPr>
          <w:ilvl w:val="1"/>
          <w:numId w:val="30"/>
        </w:numPr>
        <w:spacing w:lineRule="auto"/>
      </w:pPr>
      <w:r>
        <w:rPr/>
        <w:t xml:space="preserve">FMEA ≥ 1x per halfjaar herzien; top-3 risico’s met test van mitigaties (bijv. allergen drill, logistieke black-out oefening).</w:t>
      </w:r>
    </w:p>
    <w:p>
      <w:pPr>
        <w:numPr>
          <w:ilvl w:val="1"/>
          <w:numId w:val="30"/>
        </w:numPr>
        <w:spacing w:lineRule="auto"/>
      </w:pPr>
      <w:r>
        <w:rPr/>
        <w:t xml:space="preserve">ICT-uptime ≥ 99,5% en RTO ≤ 4 uur; datadumps voor audit binnen 24 uur beschikbaar.</w:t>
      </w:r>
    </w:p>
    <w:p>
      <w:pPr>
        <w:numPr>
          <w:ilvl w:val="0"/>
          <w:numId w:val="27"/>
        </w:numPr>
        <w:spacing w:lineRule="auto"/>
      </w:pPr>
      <w:r>
        <w:rPr/>
        <w:t xml:space="preserve">Prijs:</w:t>
      </w:r>
    </w:p>
    <w:p>
      <w:pPr>
        <w:numPr>
          <w:ilvl w:val="1"/>
          <w:numId w:val="31"/>
        </w:numPr>
        <w:spacing w:lineRule="auto"/>
      </w:pPr>
      <w:r>
        <w:rPr/>
        <w:t xml:space="preserve">Open calculatie per couvert, inclusief logistiek, verpakking, overhead; besparingspaden via menu-engine en bundellogistiek.</w:t>
      </w:r>
    </w:p>
    <w:p>
      <w:pPr>
        <w:spacing w:lineRule="auto"/>
      </w:pPr>
      <w:r>
        <w:rPr/>
        <w:t xml:space="preserve">Aggregatie en gunning</w:t>
      </w:r>
    </w:p>
    <w:p>
      <w:pPr>
        <w:numPr>
          <w:ilvl w:val="0"/>
          <w:numId w:val="32"/>
        </w:numPr>
        <w:spacing w:lineRule="auto"/>
      </w:pPr>
      <w:r>
        <w:rPr/>
        <w:t xml:space="preserve">Totaalscore EMVI = 0,40 x Kwaliteit + 0,20 x Duurzaamheid + 0,20 x Risicobeheersing + 0,20 x Prijs.</w:t>
      </w:r>
    </w:p>
    <w:p>
      <w:pPr>
        <w:numPr>
          <w:ilvl w:val="0"/>
          <w:numId w:val="32"/>
        </w:numPr>
        <w:spacing w:lineRule="auto"/>
      </w:pPr>
      <w:r>
        <w:rPr/>
        <w:t xml:space="preserve">Bij gelijke score: hoogste score op Kwaliteit prevaleert; daarna Duurzaamheid; daarna laagste CO2/couvert.</w:t>
      </w:r>
    </w:p>
    <w:p>
      <w:pPr>
        <w:spacing w:lineRule="auto"/>
      </w:pPr>
      <w:r>
        <w:rPr/>
        <w:t xml:space="preserve">Borging van MUST- en KO-eisen</w:t>
      </w:r>
    </w:p>
    <w:p>
      <w:pPr>
        <w:numPr>
          <w:ilvl w:val="0"/>
          <w:numId w:val="33"/>
        </w:numPr>
        <w:spacing w:lineRule="auto"/>
      </w:pPr>
      <w:r>
        <w:rPr/>
        <w:t xml:space="preserve">Allergenenregistratie en dieetprofielen: W-02 en W-03 leveren 100% digitale borging met audittrail.</w:t>
      </w:r>
    </w:p>
    <w:p>
      <w:pPr>
        <w:numPr>
          <w:ilvl w:val="0"/>
          <w:numId w:val="33"/>
        </w:numPr>
        <w:spacing w:lineRule="auto"/>
      </w:pPr>
      <w:r>
        <w:rPr/>
        <w:t xml:space="preserve">Minimaal 25% biologisch en 30% lokaal/regionaal: W-04 en W-05 sturen boven de must (35%/27%) met kwartaalrapportage.</w:t>
      </w:r>
    </w:p>
    <w:p>
      <w:pPr>
        <w:numPr>
          <w:ilvl w:val="0"/>
          <w:numId w:val="33"/>
        </w:numPr>
        <w:spacing w:lineRule="auto"/>
      </w:pPr>
      <w:r>
        <w:rPr/>
        <w:t xml:space="preserve">Foodwaste &lt; 3% en zero-waste verpakkingen: W-06 en W-07 garanderen ≤ 2,5% waste en closed-loop verpakkingen.</w:t>
      </w:r>
    </w:p>
    <w:p>
      <w:pPr>
        <w:numPr>
          <w:ilvl w:val="0"/>
          <w:numId w:val="33"/>
        </w:numPr>
        <w:spacing w:lineRule="auto"/>
      </w:pPr>
      <w:r>
        <w:rPr/>
        <w:t xml:space="preserve">KO Hygiëne en capaciteit: W-09 en W-10 (ISO 22000/HACCP), productie- en personeelsplanning voor pieken.</w:t>
      </w:r>
    </w:p>
    <w:p>
      <w:pPr>
        <w:spacing w:lineRule="auto"/>
      </w:pPr>
      <w:r>
        <w:rPr/>
        <w:t xml:space="preserve">Rapportage- en overlegcyclus (PDCA)</w:t>
      </w:r>
    </w:p>
    <w:p>
      <w:pPr>
        <w:numPr>
          <w:ilvl w:val="0"/>
          <w:numId w:val="34"/>
        </w:numPr>
        <w:spacing w:lineRule="auto"/>
      </w:pPr>
      <w:r>
        <w:rPr/>
        <w:t xml:space="preserve">Maandelijks: KPI-rapport (W-16), reviewmeeting (60 min), CAPA-update.</w:t>
      </w:r>
    </w:p>
    <w:p>
      <w:pPr>
        <w:numPr>
          <w:ilvl w:val="0"/>
          <w:numId w:val="34"/>
        </w:numPr>
        <w:spacing w:lineRule="auto"/>
      </w:pPr>
      <w:r>
        <w:rPr/>
        <w:t xml:space="preserve">Per kwartaal: QBR met trendanalyse, risicoreview (W-12), duurzaamheidsbalans (KPI-05/06/09).</w:t>
      </w:r>
    </w:p>
    <w:p>
      <w:pPr>
        <w:numPr>
          <w:ilvl w:val="0"/>
          <w:numId w:val="34"/>
        </w:numPr>
        <w:spacing w:lineRule="auto"/>
      </w:pPr>
      <w:r>
        <w:rPr/>
        <w:t xml:space="preserve">Per halfjaar: FMEA-herziening, leveranciersaudit (W-11), menu-innovatiesprint (W-01).</w:t>
      </w:r>
    </w:p>
    <w:p>
      <w:pPr>
        <w:numPr>
          <w:ilvl w:val="0"/>
          <w:numId w:val="34"/>
        </w:numPr>
        <w:spacing w:lineRule="auto"/>
      </w:pPr>
      <w:r>
        <w:rPr/>
        <w:t xml:space="preserve">Direct: incidentmelding allergenen of voedselveiligheid binnen 30 min aan contractmanager.</w:t>
      </w:r>
    </w:p>
    <w:p>
      <w:pPr>
        <w:spacing w:lineRule="auto"/>
      </w:pPr>
      <w:r>
        <w:rPr/>
        <w:t xml:space="preserve">Compliance en bewijsvoering bij inschrijving</w:t>
      </w:r>
    </w:p>
    <w:p>
      <w:pPr>
        <w:numPr>
          <w:ilvl w:val="0"/>
          <w:numId w:val="35"/>
        </w:numPr>
        <w:spacing w:lineRule="auto"/>
      </w:pPr>
      <w:r>
        <w:rPr/>
        <w:t xml:space="preserve">Certificaten: ISO 22000, HACCP (kopieën en geldigheid).</w:t>
      </w:r>
    </w:p>
    <w:p>
      <w:pPr>
        <w:numPr>
          <w:ilvl w:val="0"/>
          <w:numId w:val="35"/>
        </w:numPr>
        <w:spacing w:lineRule="auto"/>
      </w:pPr>
      <w:r>
        <w:rPr/>
        <w:t xml:space="preserve">Voorbeelden: dashboards (geanonimiseerd), menucycli, labels, TMS-screens, inkoopoverzichten met herkomst/biologisch, weegprotocol waste, klachten- en incidentprocedure, continuïteitsplan.</w:t>
      </w:r>
    </w:p>
    <w:p>
      <w:pPr>
        <w:spacing w:lineRule="auto"/>
      </w:pPr>
      <w:r>
        <w:rPr/>
        <w:t xml:space="preserve">Gerelateerde EMVI-eisen en leveringsdocumenten</w:t>
      </w:r>
    </w:p>
    <w:p>
      <w:pPr>
        <w:numPr>
          <w:ilvl w:val="0"/>
          <w:numId w:val="36"/>
        </w:numPr>
        <w:spacing w:lineRule="auto"/>
      </w:pPr>
      <w:r>
        <w:rPr/>
        <w:t xml:space="preserve">Plan van Aanpak: beschrijft W-01 t/m W-16 met planning en PDCA.</w:t>
      </w:r>
    </w:p>
    <w:p>
      <w:pPr>
        <w:numPr>
          <w:ilvl w:val="0"/>
          <w:numId w:val="36"/>
        </w:numPr>
        <w:spacing w:lineRule="auto"/>
      </w:pPr>
      <w:r>
        <w:rPr/>
        <w:t xml:space="preserve">Risicodossier: FMEA, scenario’s en CAPA-kalender.</w:t>
      </w:r>
    </w:p>
    <w:p>
      <w:pPr>
        <w:numPr>
          <w:ilvl w:val="0"/>
          <w:numId w:val="36"/>
        </w:numPr>
        <w:spacing w:lineRule="auto"/>
      </w:pPr>
      <w:r>
        <w:rPr/>
        <w:t xml:space="preserve">KPI-overzicht: definities, metingen, rapportagefrequentie, drempel- en streefwaarden.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Beoordelingsmethodiek (EMVI/BPKV)</dc:title>
  <dc:subject/>
  <dc:creator>html-to-docx</dc:creator>
  <cp:keywords>html-to-docx</cp:keywords>
  <dc:description/>
  <cp:lastModifiedBy>html-to-docx</cp:lastModifiedBy>
  <cp:revision>1</cp:revision>
  <dcterms:created xsi:type="dcterms:W3CDTF">2025-11-04T09:44:49.248Z</dcterms:created>
  <dcterms:modified xsi:type="dcterms:W3CDTF">2025-11-04T09:44:49.248Z</dcterms:modified>
</cp:coreProperties>
</file>