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Bewijsstukken</w:t>
      </w:r>
    </w:p>
    <w:p>
      <w:pPr>
        <w:spacing w:lineRule="auto"/>
      </w:pPr>
      <w:r>
        <w:rPr/>
        <w:t xml:space="preserve">Doel en aanpak</w:t>
      </w:r>
    </w:p>
    <w:p>
      <w:pPr>
        <w:numPr>
          <w:ilvl w:val="0"/>
          <w:numId w:val="1"/>
        </w:numPr>
        <w:spacing w:lineRule="auto"/>
      </w:pPr>
      <w:r>
        <w:rPr/>
        <w:t xml:space="preserve">Doel: aantonen dat Caternext B.V. aan alle KO- en REQ-eisen van GEM-AMS-CATER-2026-014 voldoet en de SLA-KPI’s SMART en PDCA-conform borgt.</w:t>
      </w:r>
    </w:p>
    <w:p>
      <w:pPr>
        <w:numPr>
          <w:ilvl w:val="0"/>
          <w:numId w:val="1"/>
        </w:numPr>
        <w:spacing w:lineRule="auto"/>
      </w:pPr>
      <w:r>
        <w:rPr/>
        <w:t xml:space="preserve">PDCA-borging:</w:t>
      </w:r>
    </w:p>
    <w:p>
      <w:pPr>
        <w:numPr>
          <w:ilvl w:val="1"/>
          <w:numId w:val="2"/>
        </w:numPr>
        <w:spacing w:lineRule="auto"/>
      </w:pPr>
      <w:r>
        <w:rPr/>
        <w:t xml:space="preserve">Plan: beleid, procedures, plannen (W-01 t/m W-10).</w:t>
      </w:r>
    </w:p>
    <w:p>
      <w:pPr>
        <w:numPr>
          <w:ilvl w:val="1"/>
          <w:numId w:val="2"/>
        </w:numPr>
        <w:spacing w:lineRule="auto"/>
      </w:pPr>
      <w:r>
        <w:rPr/>
        <w:t xml:space="preserve">Do: uitvoering via training, systemen, processen en leverancierscontracten.</w:t>
      </w:r>
    </w:p>
    <w:p>
      <w:pPr>
        <w:numPr>
          <w:ilvl w:val="1"/>
          <w:numId w:val="2"/>
        </w:numPr>
        <w:spacing w:lineRule="auto"/>
      </w:pPr>
      <w:r>
        <w:rPr/>
        <w:t xml:space="preserve">Check: audits, dashboards, steekproeven, klantmetingen, traceability.</w:t>
      </w:r>
    </w:p>
    <w:p>
      <w:pPr>
        <w:numPr>
          <w:ilvl w:val="1"/>
          <w:numId w:val="2"/>
        </w:numPr>
        <w:spacing w:lineRule="auto"/>
      </w:pPr>
      <w:r>
        <w:rPr/>
        <w:t xml:space="preserve">Act: verbeteracties, RCA’s, CAPA’s en herijking plannen per kwartaal.</w:t>
      </w:r>
    </w:p>
    <w:p>
      <w:pPr>
        <w:numPr>
          <w:ilvl w:val="0"/>
          <w:numId w:val="1"/>
        </w:numPr>
        <w:spacing w:lineRule="auto"/>
      </w:pPr>
      <w:r>
        <w:rPr/>
        <w:t xml:space="preserve">W-xx werkpakketten:</w:t>
      </w:r>
    </w:p>
    <w:p>
      <w:pPr>
        <w:numPr>
          <w:ilvl w:val="1"/>
          <w:numId w:val="3"/>
        </w:numPr>
        <w:spacing w:lineRule="auto"/>
      </w:pPr>
      <w:r>
        <w:rPr/>
        <w:t xml:space="preserve">W-01 Menu &amp; assortiment; W-02 Allergenen &amp; dieet; W-03 Logistiek &amp; leverbetrouwbaarheid; W-04 Duurzaamheid &amp; zero-waste; W-05 Digitaal bestelsysteem; W-06 Voedselveiligheid; W-07 Inkoop &amp; herkomst; W-08 Klanttevredenheid; W-09 Continuïteit &amp; incident; W-10 Rapportage &amp; SLA.</w:t>
      </w:r>
    </w:p>
    <w:p>
      <w:pPr>
        <w:numPr>
          <w:ilvl w:val="0"/>
          <w:numId w:val="1"/>
        </w:numPr>
        <w:spacing w:lineRule="auto"/>
      </w:pPr>
      <w:r>
        <w:rPr/>
        <w:t xml:space="preserve">KPI’s (SMART):</w:t>
      </w:r>
    </w:p>
    <w:p>
      <w:pPr>
        <w:numPr>
          <w:ilvl w:val="1"/>
          <w:numId w:val="4"/>
        </w:numPr>
        <w:spacing w:lineRule="auto"/>
      </w:pPr>
      <w:r>
        <w:rPr/>
        <w:t xml:space="preserve">KPI-1 Op tijd geleverd ≥98% per locatie per maand (11:00–13:30), bron: TMS/scan.</w:t>
      </w:r>
    </w:p>
    <w:p>
      <w:pPr>
        <w:numPr>
          <w:ilvl w:val="1"/>
          <w:numId w:val="4"/>
        </w:numPr>
        <w:spacing w:lineRule="auto"/>
      </w:pPr>
      <w:r>
        <w:rPr/>
        <w:t xml:space="preserve">KPI-2 Klanttevredenheid ≥8,2 per kwartaal, N≥200, bron: eNPS/CSAT survey.</w:t>
      </w:r>
    </w:p>
    <w:p>
      <w:pPr>
        <w:numPr>
          <w:ilvl w:val="1"/>
          <w:numId w:val="4"/>
        </w:numPr>
        <w:spacing w:lineRule="auto"/>
      </w:pPr>
      <w:r>
        <w:rPr/>
        <w:t xml:space="preserve">KPI-3 Allergenen-fouten =0 per maand, 0-tolerantie, bron: incidentregister.</w:t>
      </w:r>
    </w:p>
    <w:p>
      <w:pPr>
        <w:numPr>
          <w:ilvl w:val="1"/>
          <w:numId w:val="4"/>
        </w:numPr>
        <w:spacing w:lineRule="auto"/>
      </w:pPr>
      <w:r>
        <w:rPr/>
        <w:t xml:space="preserve">KPI-4 Foodwaste &lt;3% per maand (kg en % tov geproduceerd), bron: weegdata.</w:t>
      </w:r>
    </w:p>
    <w:p>
      <w:pPr>
        <w:numPr>
          <w:ilvl w:val="1"/>
          <w:numId w:val="4"/>
        </w:numPr>
        <w:spacing w:lineRule="auto"/>
      </w:pPr>
      <w:r>
        <w:rPr/>
        <w:t xml:space="preserve">KPI-5 Biologisch ≥25% (omzet-gewogen per maand), bron: factuur-/PLU-data.</w:t>
      </w:r>
    </w:p>
    <w:p>
      <w:pPr>
        <w:numPr>
          <w:ilvl w:val="1"/>
          <w:numId w:val="4"/>
        </w:numPr>
        <w:spacing w:lineRule="auto"/>
      </w:pPr>
      <w:r>
        <w:rPr/>
        <w:t xml:space="preserve">KPI-6 Lokaal/regionaal ≥30% (omzet-gewogen ≤150 km), bron: herkomstdata.</w:t>
      </w:r>
    </w:p>
    <w:p>
      <w:pPr>
        <w:numPr>
          <w:ilvl w:val="0"/>
          <w:numId w:val="1"/>
        </w:numPr>
        <w:spacing w:lineRule="auto"/>
      </w:pPr>
      <w:r>
        <w:rPr/>
        <w:t xml:space="preserve">Toprisico’s (R-xx):</w:t>
      </w:r>
    </w:p>
    <w:p>
      <w:pPr>
        <w:numPr>
          <w:ilvl w:val="1"/>
          <w:numId w:val="5"/>
        </w:numPr>
        <w:spacing w:lineRule="auto"/>
      </w:pPr>
      <w:r>
        <w:rPr/>
        <w:t xml:space="preserve">R-01 Capaciteit &lt;500 couverts/dag; R-02 Allergenen kruisbesmetting; R-3 Te late levering; R-04 Onvoldoende bio/lokaal; R-05 ICT-storing bestelplatform; R-06 Verpakkingsnon-conformiteit; R-07 Foodwaste &gt;3%; R-08 Dataprivacy dieetprofielen.</w:t>
      </w:r>
    </w:p>
    <w:p>
      <w:pPr>
        <w:spacing w:lineRule="auto"/>
      </w:pPr>
      <w:r>
        <w:rPr/>
        <w:t xml:space="preserve">Overzicht bijlagen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Relatie (W-xx/KO/REQ)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Verwijzing (pag./sectie)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22000 certificaat (voedselveiligheid). PDCA: P/C.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KO-1; KPI-3; 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Definitief; geldig per 2026-01-20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 p.1–3 §1–3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HACCP-plan + laatste auditrapport. PDCA: P/D/C/A.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KO-1; KPI-3; 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 p.2–18 §2.1–2.7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Capaciteitstoets ≥500 couverts/dag + stress-test.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W-03; KO-2; KPI-1; 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 p.3–10 §3.2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Route- en vensterborging (TMS-plannen, buffers).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W-03; REQ; KPI-1; 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 p.4–9 §2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2026–2030 (EMVI-kwaliteit).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W-01–W-10; REQ; KPI-1–6; R-01–08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 p.1–24 §1–7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 met beheersmaatregelen en CAPA-flow.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REQ; KPI-1–6; R-01–08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 p.2–14 §3–5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 en meetplan (definities, bronnen).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REQ; KPI-1–6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 p.1–8 §1–4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Allergenen- en dieetbeheerprocedure + registraties.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W-02; REQ-1; KPI-3; 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 p.3–12 §2–4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Validatie allergenen (swabtests, traceerbaarheid).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W-02; REQ-1; KPI-3; 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 p.2–7 §3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Handleiding digitaal bestelsysteem + schermen.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W-05; REQ-1/4; KPI-2–3; R-05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 p.1–16 §1–6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DPIA + AVG-verklaring dieetprofielen.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W-05; REQ-1/4; R-08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 p.2–9 §2–5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Seizoensmenu’s Q1–Q4 met % bio/lokaal per item.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W-01; REQ-2; KPI-5–6; 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A12 p.3–15 §3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Leveranciersverklaringen bio/herkomst; Fresh&amp;Local Coöp overeenkomst.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REQ-2; KPI-5–6; 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Ondertekend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A13 p.1–11 §1–4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Zero-waste verpakkingsspecificaties en conformiteit.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REQ-3; R-06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A14 p.2–8 §2–3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Foodwaste meetmethode, weegprotocol, dashboards.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REQ-3; KPI-4; 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A15 p.1–10 §1–5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Trainingsmatrix (HACCP, allergenen, zero-waste).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W-04; REQ; KPI-3–4; R-02/07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A16 p.2–6 §2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Continuïteits- en calamiteitenplan (back-up keuken, routes, personeel).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W-09; REQ; KPI-1–3; R-01/03/05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A17 p.3–12 §3–6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SLA-monitoring &amp; rapportagekalender (maandelijks/kwartaal).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REQ; KPI-1–6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A18 p.1–5 §1–3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Methodiek klanttevredenheid + 2024 benchmark (8,4).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W-08; KPI-2; 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A19 p.2–7 §2–4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Certificaat PSL niveau 3 (duurzaamheid/social).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REQ; KPI-4; R-07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A20 p.1–3 §1–2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 auditplanning 2026–2030 (PDCA, scope).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REQ; KPI-1–6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A21 p.2–5 §2–3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Escalatie- en incidentprocedure (allergenen 0-tol).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W-02; W-10; KPI-3; 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A22 p.1–6 §1–4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IT-beveiligingsbeleid en uptime-SLA’s (platform).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W-05; KPI-1–3; R-05/08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A23 p.3–9 §3–5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Pilotverslag multi-locatie levering (OTD 99,2%, waste 2,4%).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W-03/04; KPI-1/4; R-01/03/07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A24 p.2–8 §2–3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Klachten- en verbeterproces (RCA, 5x Waarom, CAPA).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W-10; KPI-2–3; 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A25 p.1–5 §1–3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Recall- en traceerbaarheidsprocedure (2 uur doel).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KPI-3; 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A26 p.2–6 §2–4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Personeelsroosters lunchvenster 11:00–13:30 + buffers.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W-03; KPI-1; R-01/03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A27 p.1–4 §1–2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Contracten inzamelpartners voor herbruikbare verpakkingen.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REQ-3; R-06/07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Ondertekend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A28 p.2–5 §2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Dataconnexies POS/PLU → rapportage (bio/lokaal %).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W-05/07/10; KPI-5–6; REQ-2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A29 p.3–7 §3–4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Leveranciersselectiecriteria (bio, radius ≤150 km).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REQ-2; KPI-6; R-04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A30 p.1–6 §1–3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SMART en PDCA-koppelingen</w:t>
      </w:r>
    </w:p>
    <w:p>
      <w:pPr>
        <w:numPr>
          <w:ilvl w:val="0"/>
          <w:numId w:val="6"/>
        </w:numPr>
        <w:spacing w:lineRule="auto"/>
      </w:pPr>
      <w:r>
        <w:rPr/>
        <w:t xml:space="preserve">KO-1 en KO-2 worden aantoonbaar geborgd via A1–A4 (Plan), uitgevoerd met getraind personeel en TMS (Do, A16/A27), gecontroleerd via interne audits en OTD-dashboards (Check, A18/A21/A24), en bijgestuurd met CAPA’s en herplanning (Act, A6/A25).</w:t>
      </w:r>
    </w:p>
    <w:p>
      <w:pPr>
        <w:numPr>
          <w:ilvl w:val="0"/>
          <w:numId w:val="6"/>
        </w:numPr>
        <w:spacing w:lineRule="auto"/>
      </w:pPr>
      <w:r>
        <w:rPr/>
        <w:t xml:space="preserve">REQ-1 (allergenen/dieet) is SMART via nul-tolerantie KPI-3, traceerbare registratie in het platform (A8–A10), AVG-borging (A11) en recall-procedure (A26).</w:t>
      </w:r>
    </w:p>
    <w:p>
      <w:pPr>
        <w:numPr>
          <w:ilvl w:val="0"/>
          <w:numId w:val="6"/>
        </w:numPr>
        <w:spacing w:lineRule="auto"/>
      </w:pPr>
      <w:r>
        <w:rPr/>
        <w:t xml:space="preserve">REQ-2 (≥25% bio, ≥30% lokaal) is SMART via maandelijkse omzet-gewogen berekening (A12/A29), leverancierscontracten (A13/A30) en audit (A21).</w:t>
      </w:r>
    </w:p>
    <w:p>
      <w:pPr>
        <w:numPr>
          <w:ilvl w:val="0"/>
          <w:numId w:val="6"/>
        </w:numPr>
        <w:spacing w:lineRule="auto"/>
      </w:pPr>
      <w:r>
        <w:rPr/>
        <w:t xml:space="preserve">REQ-3 (waste &lt;3%, zero-waste) is SMART via weegprotocol en dashboards (A15), contracten voor herbruikbaar (A14/A28) en periodieke evaluatie (A18/A21).</w:t>
      </w:r>
    </w:p>
    <w:p>
      <w:pPr>
        <w:numPr>
          <w:ilvl w:val="0"/>
          <w:numId w:val="6"/>
        </w:numPr>
        <w:spacing w:lineRule="auto"/>
      </w:pPr>
      <w:r>
        <w:rPr/>
        <w:t xml:space="preserve">SLA-KPI’s worden maandelijks gerapporteerd (A18), met drempelwaarden en escalatie (A22/A25) en jaarlijkse herijking (A5/A21).</w:t>
      </w:r>
    </w:p>
    <w:p>
      <w:pPr>
        <w:spacing w:lineRule="auto"/>
      </w:pPr>
      <w:r>
        <w:rPr/>
        <w:t xml:space="preserve">Controle- en meetfrequentie</w:t>
      </w:r>
    </w:p>
    <w:p>
      <w:pPr>
        <w:numPr>
          <w:ilvl w:val="0"/>
          <w:numId w:val="7"/>
        </w:numPr>
        <w:spacing w:lineRule="auto"/>
      </w:pPr>
      <w:r>
        <w:rPr/>
        <w:t xml:space="preserve">Dagelijks: allergenenchecks en temperatuurregistraties (A2/A8).</w:t>
      </w:r>
    </w:p>
    <w:p>
      <w:pPr>
        <w:numPr>
          <w:ilvl w:val="0"/>
          <w:numId w:val="7"/>
        </w:numPr>
        <w:spacing w:lineRule="auto"/>
      </w:pPr>
      <w:r>
        <w:rPr/>
        <w:t xml:space="preserve">Wekelijks: route-OTD review en waste-rapportage (A4/A15).</w:t>
      </w:r>
    </w:p>
    <w:p>
      <w:pPr>
        <w:numPr>
          <w:ilvl w:val="0"/>
          <w:numId w:val="7"/>
        </w:numPr>
        <w:spacing w:lineRule="auto"/>
      </w:pPr>
      <w:r>
        <w:rPr/>
        <w:t xml:space="preserve">Maandelijks: KPI-1 t/m 6 rapportage en leveranciersconformiteit (A18/A13/A29).</w:t>
      </w:r>
    </w:p>
    <w:p>
      <w:pPr>
        <w:numPr>
          <w:ilvl w:val="0"/>
          <w:numId w:val="7"/>
        </w:numPr>
        <w:spacing w:lineRule="auto"/>
      </w:pPr>
      <w:r>
        <w:rPr/>
        <w:t xml:space="preserve">Per kwartaal: interne audit, klanttevredenheid, PDCA-review (A19/A21).</w:t>
      </w:r>
    </w:p>
    <w:p>
      <w:pPr>
        <w:numPr>
          <w:ilvl w:val="0"/>
          <w:numId w:val="7"/>
        </w:numPr>
        <w:spacing w:lineRule="auto"/>
      </w:pPr>
      <w:r>
        <w:rPr/>
        <w:t xml:space="preserve">Jaarlijks: hercertificering en strategische herijking (A1/A5).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Bewijsstukkenbundel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