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NvI – Clarificatievragen Caternext B.V. n.a.v. Raamovereenkomst Duurzame Catering en Bedrijfslunch 2026–2030 (referentie: GEM-AMS-CATER-2026-014)</w:t>
      </w:r>
    </w:p>
    <w:p>
      <w:pPr>
        <w:numPr>
          <w:ilvl w:val="0"/>
          <w:numId w:val="1"/>
        </w:numPr>
        <w:spacing w:lineRule="auto"/>
      </w:pPr>
      <w:r>
        <w:rPr/>
        <w:t xml:space="preserve">Locaties, volumes en piekpatronen</w:t>
      </w:r>
    </w:p>
    <w:p>
      <w:pPr>
        <w:numPr>
          <w:ilvl w:val="0"/>
          <w:numId w:val="2"/>
        </w:numPr>
        <w:spacing w:lineRule="auto"/>
      </w:pPr>
      <w:r>
        <w:rPr/>
        <w:t xml:space="preserve">Vraag: Kunt u per gemeentelijke locatie een overzicht leveren van adressen, afleverpunten (dock/etage), beveiligingsprocedures, gewenste aflevermomenten binnen 11:00–13:30, daggemiddelden en pieken per maand/kwartaal (incl. events/raadsvergaderingen), plus tolerantiebandbreedte (%) per locatie?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Dimensionering productie, ritplanning, personeelsinzet, SLA ≥98% op tijd.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EMVI Kwaliteit, Risicobeheersing; SLA “Op tijd geleverd”.</w:t>
      </w:r>
    </w:p>
    <w:p>
      <w:pPr>
        <w:numPr>
          <w:ilvl w:val="0"/>
          <w:numId w:val="2"/>
        </w:numPr>
        <w:spacing w:lineRule="auto"/>
      </w:pPr>
      <w:r>
        <w:rPr/>
        <w:t xml:space="preserve">PDCA: Plan op basis van volumereeksen; Do ritten en keukencapaciteit alloceren; Check OTIF ≥98%; Act buffers/routeherziening bij overschrijdingen.</w:t>
      </w:r>
    </w:p>
    <w:p>
      <w:pPr>
        <w:numPr>
          <w:ilvl w:val="0"/>
          <w:numId w:val="2"/>
        </w:numPr>
        <w:spacing w:lineRule="auto"/>
      </w:pPr>
      <w:r>
        <w:rPr/>
        <w:t xml:space="preserve">Kruisverwijzing: W-01 Capaciteitsplanning ↔ KPI OTIF ≥98% ↔ Risico onderlevering bij pieken ↔ Bewijs: forecast-overzichten, OTIF-rapporten, track&amp;trace-logs.</w:t>
      </w:r>
    </w:p>
    <w:p>
      <w:pPr>
        <w:numPr>
          <w:ilvl w:val="0"/>
          <w:numId w:val="3"/>
        </w:numPr>
        <w:spacing w:lineRule="auto"/>
      </w:pPr>
      <w:r>
        <w:rPr/>
        <w:t xml:space="preserve">Definitie en meting 30% lokaal/regionaal</w:t>
      </w:r>
    </w:p>
    <w:p>
      <w:pPr>
        <w:numPr>
          <w:ilvl w:val="0"/>
          <w:numId w:val="4"/>
        </w:numPr>
        <w:spacing w:lineRule="auto"/>
      </w:pPr>
      <w:r>
        <w:rPr/>
        <w:t xml:space="preserve">Vraag: Wat is de formele definitie van “lokaal/regionaal” (straal in km, provincie/Metropoolregio)? Wordt de 30% berekend op inkoopwaarde, nettogewicht of menucomponenten? Hoe om te gaan met samengestelde producten en seizoensschommelingen (toegestane uitzonderingsmaanden en aantoonplicht)?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Inkoopstrategie, leveranciersselectie, compliance.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EMVI Duurzaamheid; Must “30% lokaal/regionaal”.</w:t>
      </w:r>
    </w:p>
    <w:p>
      <w:pPr>
        <w:numPr>
          <w:ilvl w:val="0"/>
          <w:numId w:val="4"/>
        </w:numPr>
        <w:spacing w:lineRule="auto"/>
      </w:pPr>
      <w:r>
        <w:rPr/>
        <w:t xml:space="preserve">PDCA: Plan leveranciersmix; Do sourcingcontracten; Check maandelijkse %; Act herallocatie bij tekort.</w:t>
      </w:r>
    </w:p>
    <w:p>
      <w:pPr>
        <w:numPr>
          <w:ilvl w:val="0"/>
          <w:numId w:val="4"/>
        </w:numPr>
        <w:spacing w:lineRule="auto"/>
      </w:pPr>
      <w:r>
        <w:rPr/>
        <w:t xml:space="preserve">Kruisverwijzing: W-02 Lokale inkoop ↔ KPI ≥30% lokaal ↔ Risico afkeur bij onjuiste definitie ↔ Bewijs: leveranciersverklaringen met afstandsberekening, inkoopregister.</w:t>
      </w:r>
    </w:p>
    <w:p>
      <w:pPr>
        <w:numPr>
          <w:ilvl w:val="0"/>
          <w:numId w:val="5"/>
        </w:numPr>
        <w:spacing w:lineRule="auto"/>
      </w:pPr>
      <w:r>
        <w:rPr/>
        <w:t xml:space="preserve">Berekeningswijze 25% biologisch en bewijsvoering</w:t>
      </w:r>
    </w:p>
    <w:p>
      <w:pPr>
        <w:numPr>
          <w:ilvl w:val="0"/>
          <w:numId w:val="6"/>
        </w:numPr>
        <w:spacing w:lineRule="auto"/>
      </w:pPr>
      <w:r>
        <w:rPr/>
        <w:t xml:space="preserve">Vraag: Bevestigt u dat SKAL-certificering van opdrachtnemer en relevante leveranciers vereist is? Wordt 25% beoordeeld op inkoopwaarde of gewicht per kalendermaand, en zijn massabalans/partijenadministratie acceptabel? Hoe worden stock-outs en substituties beoordeeld (meldplicht en termijn)?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Certificering, menumatrix, auditlast.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Must “min. 25% biologisch”; EMVI Duurzaamheid.</w:t>
      </w:r>
    </w:p>
    <w:p>
      <w:pPr>
        <w:numPr>
          <w:ilvl w:val="0"/>
          <w:numId w:val="6"/>
        </w:numPr>
        <w:spacing w:lineRule="auto"/>
      </w:pPr>
      <w:r>
        <w:rPr/>
        <w:t xml:space="preserve">PDCA: Plan bio-portfolio; Do inkoop en labeling; Check % en SKAL-audits; Act substitutieprocessen.</w:t>
      </w:r>
    </w:p>
    <w:p>
      <w:pPr>
        <w:numPr>
          <w:ilvl w:val="0"/>
          <w:numId w:val="6"/>
        </w:numPr>
        <w:spacing w:lineRule="auto"/>
      </w:pPr>
      <w:r>
        <w:rPr/>
        <w:t xml:space="preserve">Kruisverwijzing: W-03 Bio-compliance ↔ KPI ≥25% bio ↔ Risico non-conformiteit bij audit ↔ Bewijs: SKAL-certificaten, batch/lot-registratie, inkooprapport.</w:t>
      </w:r>
    </w:p>
    <w:p>
      <w:pPr>
        <w:numPr>
          <w:ilvl w:val="0"/>
          <w:numId w:val="7"/>
        </w:numPr>
        <w:spacing w:lineRule="auto"/>
      </w:pPr>
      <w:r>
        <w:rPr/>
        <w:t xml:space="preserve">Zero-waste en herbruikbare verpakkingen</w:t>
      </w:r>
    </w:p>
    <w:p>
      <w:pPr>
        <w:numPr>
          <w:ilvl w:val="0"/>
          <w:numId w:val="8"/>
        </w:numPr>
        <w:spacing w:lineRule="auto"/>
      </w:pPr>
      <w:r>
        <w:rPr/>
        <w:t xml:space="preserve">Vraag: Welke verpakkingsvormen gelden als “zero-waste” (statiegeld/herbruikbaar PP/RVS toegestaan)? Is on- of off-site spoelen acceptabel en welke retourpercentielen (target %) verwacht u? Welke meetmethode voor foodwaste &lt;3% (bruto/netto gewicht, per locatie/per dag) en wat is de baseline?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8"/>
        </w:numPr>
        <w:spacing w:lineRule="auto"/>
      </w:pPr>
      <w:r>
        <w:rPr/>
        <w:t xml:space="preserve">Impact: Systeemkeuze, logistiek retourproces, investeringen.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Must “zero-waste” en “foodwaste &lt;3%”; EMVI Duurzaamheid.</w:t>
      </w:r>
    </w:p>
    <w:p>
      <w:pPr>
        <w:numPr>
          <w:ilvl w:val="0"/>
          <w:numId w:val="8"/>
        </w:numPr>
        <w:spacing w:lineRule="auto"/>
      </w:pPr>
      <w:r>
        <w:rPr/>
        <w:t xml:space="preserve">PDCA: Plan retoursysteem; Do uitrol en inzamelpunten; Check retour% en waste&lt;3%; Act optimalisatie menus en porties.</w:t>
      </w:r>
    </w:p>
    <w:p>
      <w:pPr>
        <w:numPr>
          <w:ilvl w:val="0"/>
          <w:numId w:val="8"/>
        </w:numPr>
        <w:spacing w:lineRule="auto"/>
      </w:pPr>
      <w:r>
        <w:rPr/>
        <w:t xml:space="preserve">Kruisverwijzing: W-04 Verpakking &amp; waste ↔ KPI Foodwaste &lt;3% ↔ Risico overschrijding derving ↔ Bewijs: weegbonnen, retourlogs, foto-audits.</w:t>
      </w:r>
    </w:p>
    <w:p>
      <w:pPr>
        <w:numPr>
          <w:ilvl w:val="0"/>
          <w:numId w:val="9"/>
        </w:numPr>
        <w:spacing w:lineRule="auto"/>
      </w:pPr>
      <w:r>
        <w:rPr/>
        <w:t xml:space="preserve">Allergenen en dieetprofielen (EU 1169/2011) in digitaal systeem</w:t>
      </w:r>
    </w:p>
    <w:p>
      <w:pPr>
        <w:numPr>
          <w:ilvl w:val="0"/>
          <w:numId w:val="10"/>
        </w:numPr>
        <w:spacing w:lineRule="auto"/>
      </w:pPr>
      <w:r>
        <w:rPr/>
        <w:t xml:space="preserve">Vraag: Vereist u SSO (Azure AD/eHerkenning) en API-koppelingen (REST/EDI) voor dieetprofielen? Wat is de minimale datamapping (14 allergenen, kruisbesmetting, voorkeuren), retentietermijn conform AVG, en acceptatiecriteria voor 0 allergenen-fouten (bijv. 100% matching bij bestelbevestiging)?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0"/>
        </w:numPr>
        <w:spacing w:lineRule="auto"/>
      </w:pPr>
      <w:r>
        <w:rPr/>
        <w:t xml:space="preserve">Impact: IT-architectuur, dataveiligheid, SLA “Allergenen-fouten 0”.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Must “digitaal bestelsysteem met dieetprofielen”; SLA; EMVI Kwaliteit/Risico.</w:t>
      </w:r>
    </w:p>
    <w:p>
      <w:pPr>
        <w:numPr>
          <w:ilvl w:val="0"/>
          <w:numId w:val="10"/>
        </w:numPr>
        <w:spacing w:lineRule="auto"/>
      </w:pPr>
      <w:r>
        <w:rPr/>
        <w:t xml:space="preserve">PDCA: Plan datamodel; Do integratie en validatie; Check foutmonitoring=0; Act hotfix bij afwijking.</w:t>
      </w:r>
    </w:p>
    <w:p>
      <w:pPr>
        <w:numPr>
          <w:ilvl w:val="0"/>
          <w:numId w:val="10"/>
        </w:numPr>
        <w:spacing w:lineRule="auto"/>
      </w:pPr>
      <w:r>
        <w:rPr/>
        <w:t xml:space="preserve">Kruisverwijzing: W-05 IT &amp; allergenen ↔ KPI Allergenen-fouten = 0 ↔ Risico gezondheidsincident ↔ Bewijs: pen-testrapport, allergenenregister, API-logs.</w:t>
      </w:r>
    </w:p>
    <w:p>
      <w:pPr>
        <w:numPr>
          <w:ilvl w:val="0"/>
          <w:numId w:val="11"/>
        </w:numPr>
        <w:spacing w:lineRule="auto"/>
      </w:pPr>
      <w:r>
        <w:rPr/>
        <w:t xml:space="preserve">SLA’s, metingen en bonus/malus</w:t>
      </w:r>
    </w:p>
    <w:p>
      <w:pPr>
        <w:numPr>
          <w:ilvl w:val="0"/>
          <w:numId w:val="12"/>
        </w:numPr>
        <w:spacing w:lineRule="auto"/>
      </w:pPr>
      <w:r>
        <w:rPr/>
        <w:t xml:space="preserve">Vraag: Kunt u per SLA (OTIF ≥98%, KTV ≥8,2, Allergenen 0) de meetmethode, steekproefkader, rapportagefrequentie (wekelijks/maandelijks) en eventuele bonus/malus of hersteltermijnen (bijv. RCA binnen 48 uur) specificeren?</w:t>
      </w:r>
    </w:p>
    <w:p>
      <w:pPr>
        <w:numPr>
          <w:ilvl w:val="0"/>
          <w:numId w:val="12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2"/>
        </w:numPr>
        <w:spacing w:lineRule="auto"/>
      </w:pPr>
      <w:r>
        <w:rPr/>
        <w:t xml:space="preserve">Impact: Operationele aansturing, prijs-/risicopremie.</w:t>
      </w:r>
    </w:p>
    <w:p>
      <w:pPr>
        <w:numPr>
          <w:ilvl w:val="0"/>
          <w:numId w:val="12"/>
        </w:numPr>
        <w:spacing w:lineRule="auto"/>
      </w:pPr>
      <w:r>
        <w:rPr/>
        <w:t xml:space="preserve">Afhankelijkheden: SLA-definities; EMVI Risicobeheersing/Prijs.</w:t>
      </w:r>
    </w:p>
    <w:p>
      <w:pPr>
        <w:numPr>
          <w:ilvl w:val="0"/>
          <w:numId w:val="12"/>
        </w:numPr>
        <w:spacing w:lineRule="auto"/>
      </w:pPr>
      <w:r>
        <w:rPr/>
        <w:t xml:space="preserve">PDCA: Plan servicemodellen; Do uitvoeren; Check SLA-dashboards; Act verbetermaatregelen.</w:t>
      </w:r>
    </w:p>
    <w:p>
      <w:pPr>
        <w:numPr>
          <w:ilvl w:val="0"/>
          <w:numId w:val="12"/>
        </w:numPr>
        <w:spacing w:lineRule="auto"/>
      </w:pPr>
      <w:r>
        <w:rPr/>
        <w:t xml:space="preserve">Kruisverwijzing: W-06 Servicelevels ↔ KPI’s SLA ↔ Risico contractuele boetes ↔ Bewijs: SLA-rapportages, RCA’s.</w:t>
      </w:r>
    </w:p>
    <w:p>
      <w:pPr>
        <w:numPr>
          <w:ilvl w:val="0"/>
          <w:numId w:val="13"/>
        </w:numPr>
        <w:spacing w:lineRule="auto"/>
      </w:pPr>
      <w:r>
        <w:rPr/>
        <w:t xml:space="preserve">Logistieke randvoorwaarden binnen Amsterdam</w:t>
      </w:r>
    </w:p>
    <w:p>
      <w:pPr>
        <w:numPr>
          <w:ilvl w:val="0"/>
          <w:numId w:val="14"/>
        </w:numPr>
        <w:spacing w:lineRule="auto"/>
      </w:pPr>
      <w:r>
        <w:rPr/>
        <w:t xml:space="preserve">Vraag: Gelden per 2026 zero-emissie-eisen voor stadslogistiek voor deze leveringen (inclusief tijdelijke vrijstellingen)? Vereist u tijdslot-reserveringen per locatie, maximale laadtijd, toegangsvergunningen en lift-/dockboekingen?</w:t>
      </w:r>
    </w:p>
    <w:p>
      <w:pPr>
        <w:numPr>
          <w:ilvl w:val="0"/>
          <w:numId w:val="1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4"/>
        </w:numPr>
        <w:spacing w:lineRule="auto"/>
      </w:pPr>
      <w:r>
        <w:rPr/>
        <w:t xml:space="preserve">Impact: Voertuiginvesteringen, routeplan, tijdsbuffers.</w:t>
      </w:r>
    </w:p>
    <w:p>
      <w:pPr>
        <w:numPr>
          <w:ilvl w:val="0"/>
          <w:numId w:val="14"/>
        </w:numPr>
        <w:spacing w:lineRule="auto"/>
      </w:pPr>
      <w:r>
        <w:rPr/>
        <w:t xml:space="preserve">Afhankelijkheden: EMVI Duurzaamheid/Kwaliteit; lokale regelgeving.</w:t>
      </w:r>
    </w:p>
    <w:p>
      <w:pPr>
        <w:numPr>
          <w:ilvl w:val="0"/>
          <w:numId w:val="14"/>
        </w:numPr>
        <w:spacing w:lineRule="auto"/>
      </w:pPr>
      <w:r>
        <w:rPr/>
        <w:t xml:space="preserve">PDCA: Plan ZE-voertuigen en tijdslots; Do implementatie; Check leverbetrouwbaarheid; Act herroutering.</w:t>
      </w:r>
    </w:p>
    <w:p>
      <w:pPr>
        <w:numPr>
          <w:ilvl w:val="0"/>
          <w:numId w:val="14"/>
        </w:numPr>
        <w:spacing w:lineRule="auto"/>
      </w:pPr>
      <w:r>
        <w:rPr/>
        <w:t xml:space="preserve">Kruisverwijzing: W-07 Stadslogistiek ↔ KPI OTIF ≥98% en CO2-reductie ↔ Risico toegangsstoringen ↔ Bewijs: ritplannen, voertuigdossiers (ZE).</w:t>
      </w:r>
    </w:p>
    <w:p>
      <w:pPr>
        <w:numPr>
          <w:ilvl w:val="0"/>
          <w:numId w:val="15"/>
        </w:numPr>
        <w:spacing w:lineRule="auto"/>
      </w:pPr>
      <w:r>
        <w:rPr/>
        <w:t xml:space="preserve">Prijsblad, indexatie en volumeschalen</w:t>
      </w:r>
    </w:p>
    <w:p>
      <w:pPr>
        <w:numPr>
          <w:ilvl w:val="0"/>
          <w:numId w:val="16"/>
        </w:numPr>
        <w:spacing w:lineRule="auto"/>
      </w:pPr>
      <w:r>
        <w:rPr/>
        <w:t xml:space="preserve">Vraag: Welk prijsformat hanteert u (per couvert, per component, staffels per volume/locatie)? Welke indexatie (CBS CPI-voeding/CAO horeca/NEA) en frequentie (jaarlijks/halfjaarlijks) gelden 2026–2030? Zijn minimumordergrenzen en toeslagen voor deelleveringen toegestaan?</w:t>
      </w:r>
    </w:p>
    <w:p>
      <w:pPr>
        <w:numPr>
          <w:ilvl w:val="0"/>
          <w:numId w:val="1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6"/>
        </w:numPr>
        <w:spacing w:lineRule="auto"/>
      </w:pPr>
      <w:r>
        <w:rPr/>
        <w:t xml:space="preserve">Impact: Prijsstelling EMVI, contractrisico.</w:t>
      </w:r>
    </w:p>
    <w:p>
      <w:pPr>
        <w:numPr>
          <w:ilvl w:val="0"/>
          <w:numId w:val="16"/>
        </w:numPr>
        <w:spacing w:lineRule="auto"/>
      </w:pPr>
      <w:r>
        <w:rPr/>
        <w:t xml:space="preserve">Afhankelijkheden: EMVI Prijs; contractvoorwaarden.</w:t>
      </w:r>
    </w:p>
    <w:p>
      <w:pPr>
        <w:numPr>
          <w:ilvl w:val="0"/>
          <w:numId w:val="16"/>
        </w:numPr>
        <w:spacing w:lineRule="auto"/>
      </w:pPr>
      <w:r>
        <w:rPr/>
        <w:t xml:space="preserve">PDCA: Plan prijsmatrix; Do offreren; Check marge-index; Act bijsturen assortiment.</w:t>
      </w:r>
    </w:p>
    <w:p>
      <w:pPr>
        <w:numPr>
          <w:ilvl w:val="0"/>
          <w:numId w:val="16"/>
        </w:numPr>
        <w:spacing w:lineRule="auto"/>
      </w:pPr>
      <w:r>
        <w:rPr/>
        <w:t xml:space="preserve">Kruisverwijzing: W-08 Prijsmodel ↔ KPI kostenefficiëntie ↔ Risico marge-erosie ↔ Bewijs: prijsblad, indexatieberekeningen.</w:t>
      </w:r>
    </w:p>
    <w:p>
      <w:pPr>
        <w:numPr>
          <w:ilvl w:val="0"/>
          <w:numId w:val="17"/>
        </w:numPr>
        <w:spacing w:lineRule="auto"/>
      </w:pPr>
      <w:r>
        <w:rPr/>
        <w:t xml:space="preserve">Risicodossier en rapportageformat</w:t>
      </w:r>
    </w:p>
    <w:p>
      <w:pPr>
        <w:numPr>
          <w:ilvl w:val="0"/>
          <w:numId w:val="18"/>
        </w:numPr>
        <w:spacing w:lineRule="auto"/>
      </w:pPr>
      <w:r>
        <w:rPr/>
        <w:t xml:space="preserve">Vraag: Is er een voorgeschreven format voor het Risicodossier (register met kans/impact, eigenaar, mitigerende acties) en KPI-overzicht? Vereist u datakoppeling (CSV/API) naar gemeentelijke dashboards en welke frequentie (maandelijks) en SLA voor incidentrapportage (bijv. TTR 2 uur bij allergenenincident)?</w:t>
      </w:r>
    </w:p>
    <w:p>
      <w:pPr>
        <w:numPr>
          <w:ilvl w:val="0"/>
          <w:numId w:val="18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18"/>
        </w:numPr>
        <w:spacing w:lineRule="auto"/>
      </w:pPr>
      <w:r>
        <w:rPr/>
        <w:t xml:space="preserve">Impact: Rapportage-inrichting, IT-koppelingen.</w:t>
      </w:r>
    </w:p>
    <w:p>
      <w:pPr>
        <w:numPr>
          <w:ilvl w:val="0"/>
          <w:numId w:val="18"/>
        </w:numPr>
        <w:spacing w:lineRule="auto"/>
      </w:pPr>
      <w:r>
        <w:rPr/>
        <w:t xml:space="preserve">Afhankelijkheden: Deliverables “Risicodossier” en “KPI-overzicht”; EMVI Risicobeheersing.</w:t>
      </w:r>
    </w:p>
    <w:p>
      <w:pPr>
        <w:numPr>
          <w:ilvl w:val="0"/>
          <w:numId w:val="18"/>
        </w:numPr>
        <w:spacing w:lineRule="auto"/>
      </w:pPr>
      <w:r>
        <w:rPr/>
        <w:t xml:space="preserve">PDCA: Plan risicoregister; Do monitoring; Check rapportages; Act escalatie/lessons learned.</w:t>
      </w:r>
    </w:p>
    <w:p>
      <w:pPr>
        <w:numPr>
          <w:ilvl w:val="0"/>
          <w:numId w:val="18"/>
        </w:numPr>
        <w:spacing w:lineRule="auto"/>
      </w:pPr>
      <w:r>
        <w:rPr/>
        <w:t xml:space="preserve">Kruisverwijzing: W-09 Governance &amp; rapportage ↔ KPI rapportage-op-tijd 100% ↔ Risico late escalatie ↔ Bewijs: risicoregister, incident-logs.</w:t>
      </w:r>
    </w:p>
    <w:p>
      <w:pPr>
        <w:numPr>
          <w:ilvl w:val="0"/>
          <w:numId w:val="19"/>
        </w:numPr>
        <w:spacing w:lineRule="auto"/>
      </w:pPr>
      <w:r>
        <w:rPr/>
        <w:t xml:space="preserve">Transitie, pilot en assets on-site</w:t>
      </w:r>
    </w:p>
    <w:p>
      <w:pPr>
        <w:numPr>
          <w:ilvl w:val="0"/>
          <w:numId w:val="20"/>
        </w:numPr>
        <w:spacing w:lineRule="auto"/>
      </w:pPr>
      <w:r>
        <w:rPr/>
        <w:t xml:space="preserve">Vraag: Wat is de beoogde startdatum, mobilisatietermijn en gewenste pilotduur (bijv. 4–8 weken) met acceptatiecriteria? Zijn er bestaande gemeentelijke assets (koelingen, uitgiftepunten, kratten) beschikbaar voor gebruik/overnamen en is er een inventarislijst per locatie?</w:t>
      </w:r>
    </w:p>
    <w:p>
      <w:pPr>
        <w:numPr>
          <w:ilvl w:val="0"/>
          <w:numId w:val="20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20"/>
        </w:numPr>
        <w:spacing w:lineRule="auto"/>
      </w:pPr>
      <w:r>
        <w:rPr/>
        <w:t xml:space="preserve">Impact: Start-upkosten, haalbaarheid planning, kwaliteit borging.</w:t>
      </w:r>
    </w:p>
    <w:p>
      <w:pPr>
        <w:numPr>
          <w:ilvl w:val="0"/>
          <w:numId w:val="20"/>
        </w:numPr>
        <w:spacing w:lineRule="auto"/>
      </w:pPr>
      <w:r>
        <w:rPr/>
        <w:t xml:space="preserve">Afhankelijkheden: EMVI Kwaliteit; uitvoering 2026–2030.</w:t>
      </w:r>
    </w:p>
    <w:p>
      <w:pPr>
        <w:numPr>
          <w:ilvl w:val="0"/>
          <w:numId w:val="20"/>
        </w:numPr>
        <w:spacing w:lineRule="auto"/>
      </w:pPr>
      <w:r>
        <w:rPr/>
        <w:t xml:space="preserve">PDCA: Plan transitieplan; Do pilot; Check acceptatie; Act opschaling/correcties.</w:t>
      </w:r>
    </w:p>
    <w:p>
      <w:pPr>
        <w:numPr>
          <w:ilvl w:val="0"/>
          <w:numId w:val="20"/>
        </w:numPr>
        <w:spacing w:lineRule="auto"/>
      </w:pPr>
      <w:r>
        <w:rPr/>
        <w:t xml:space="preserve">Kruisverwijzing: W-10 Transitiebeheer ↔ KPI tijdige go-live 100% ↔ Risico opstartstoringen ↔ Bewijs: transitie-Gantt, FAT/UAT-verslagen.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