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Compliance-matrix – Caternext B.V. – Raamovereenkomst Duurzame Catering en Bedrijfslunch 2026–2030 (GEM-AMS-CATER-2026-014)</w:t>
      </w:r>
    </w:p>
    <w:p>
      <w:pPr>
        <w:spacing w:lineRule="auto"/>
      </w:pPr>
      <w:r>
        <w:rPr/>
        <w:t xml:space="preserve">Toelichting:</w:t>
      </w:r>
    </w:p>
    <w:p>
      <w:pPr>
        <w:numPr>
          <w:ilvl w:val="0"/>
          <w:numId w:val="1"/>
        </w:numPr>
        <w:spacing w:lineRule="auto"/>
      </w:pPr>
      <w:r>
        <w:rPr/>
        <w:t xml:space="preserve">KO-eisen zijn waar mogelijk “Ja”. UEA is volledig en ondertekend.</w:t>
      </w:r>
    </w:p>
    <w:p>
      <w:pPr>
        <w:numPr>
          <w:ilvl w:val="0"/>
          <w:numId w:val="1"/>
        </w:numPr>
        <w:spacing w:lineRule="auto"/>
      </w:pPr>
      <w:r>
        <w:rPr/>
        <w:t xml:space="preserve">PDCA en kruisverbanden zijn opgenomen onder de tabel (W-xx ↔ KPI ↔ Risico ↔ Bewijs).</w:t>
      </w:r>
    </w:p>
    <w:p>
      <w:pPr>
        <w:numPr>
          <w:ilvl w:val="0"/>
          <w:numId w:val="1"/>
        </w:numPr>
        <w:spacing w:lineRule="auto"/>
      </w:pPr>
      <w:r>
        <w:rPr/>
        <w:t xml:space="preserve">Bijlagen zijn eenduidig benoemd en koppelbaar aan bewijs.</w:t>
      </w:r>
    </w:p>
    <w:p>
      <w:pPr>
        <w:spacing w:lineRule="auto"/>
      </w:pPr>
      <w:r>
        <w:rPr/>
        <w:t xml:space="preserve">Tabel: Eis | Type (KO/REQ) | Voldoening | Toelichting/Bewijs | Bijlage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 (volledig, ondertekend)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UEA ingevuld door Caternext B.V., inclusief KVK 81234567 en BTW NL812345678B01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A – UEA Caternext B.V. (getekend); Bijlage B – KVK/BTW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HACCP/ISO 22000 aantoonbaar (geldig)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22000 gecertificeerd; actueel HACCP-plan en laatste auditrapport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C – ISO 22000 certificaat; Bijlage D – HACCP-plan + audit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Levercapaciteit ≥ 500 couverts/dag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Capaciteitsberekening (productiekeuken, personeel, logistiek) toont 950 couverts/dag piekcapaciteit; bewezen in vergelijkbare contracten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E – Capaciteitsberekening 500+; Bijlage M – Route- en leveringsplan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Allergenenregistratie conform EU 1169/2011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Digitaal allergenenbeheer in bestelsysteem; 4-ogencontrole op etikettering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D – HACCP-plan; Bijlage J – KPI-meetplan; Bijlage O – Systeem-screenshots allergenen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Dieetprofielen digitaal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Gebruikersprofielen met dieet/allergenen; koppeling aan menukeuzes en waarschuwingen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O – Systeem-screenshots; Bijlage N – DPIA + VWO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Minimaal 25% biologisch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Inkoopbeleid met drempel ≥25% bio op ingrediëntwaarde; leveranciers met SKAL-erkende certificaten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F – Inkoopbeleid Duurzaam; Bijlage G – Leveranciers- en certificatenmap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Minimaal 30% lokaal/regionaal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Contracten met Fresh&amp;Local Coöp en regionale telers; tracking op herkomst in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F – Inkoopbeleid; Bijlage G – Leverancierslijst; Bijlage I – Dashboard-screens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Foodwaste &lt; 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 (≤3%)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Demand-forecasting, portiecontrole, donatie/herbestemming; directe meting per locatie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I – Foodwaste-methodiek + rapportages; Bijlage J – KPI-meetplan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Zero-waste verpakkingen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Herbruikbare GN-bakken, statiegeldbekers, omstelschalen; single-use vermeden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H – Zero-waste &amp; verpakkingsprotocol; Bijlage P – Productspecificaties herbruikbaar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Levering meerdere locaties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Multi-drop routing; geborgde cut-off en tijdvensters per locatie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M – Route- en leveringsplan; Bijlage L – Plan van Aanpak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Levervensters 11:00–13:30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SLA-venstermatrix per locatie, buffertijd en back-upvoertuig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M – Venstermatrix; Bijlage J – KPI-meetplan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Op tijd geleverd ≥ 98%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 OTIF-meting, wekelijks rapport; escalatie en CAPA bij afwijking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J – KPI-meetplan; Bijlage Q – SLA-dashboardvoorbeeld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Klanttevredenheid ≥ 8,2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Maandelijkse survey, NPS/CSAT; verbeteracties via PDCA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J – KPI-meetplan; Bijlage R – Enquêteformat + rapportagevoorbeeld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SLA: Allergenen-fouten =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4-ogencontrole, batchscan, blokkade in bestelsysteem; incidentprocedure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D – HACCP; Bijlage O – Systeemcontroles; Bijlage K – Risicodossier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Gefaseerd implementatieplan (D-14 t/m D+30) met mijlpalen en verantwoordelijken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L – Plan van Aanpak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FMEA met top-10 risico’s, beheersmaatregelen en restkans/restimpact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K – Risicodossier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KPI-definities, targets, meetmethode, escalatiegrenzen en rapportagefrequentie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J – KPI-overzicht &amp; meetplan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bestelsysteem security/AVG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DPIA uitgevoerd; verwerkersovereenkomst gereed; dataminimalisatie en 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N – DPIA + VWO; Bijlage S – Security-overzicht (RBAC, logging)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Traceerbaarheid/lottracking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Batch- en lotregistratie op ingrediëntniveau; recall-procedure getest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D – HACCP (traceerbaarheid); Bijlage T – Recall testrapport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 (PSL/PSO, CO2)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PSL niveau 3; CO2-monitoring transport; menu-engine voor seizoensrotatie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U – PSL niveau 3 bewijs; Bijlage I – Dashboard duurzaamheid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PDCA-borging en kruisverbanden (W-xx ↔ KPI ↔ Risico ↔ Bewijs):</w:t>
      </w:r>
    </w:p>
    <w:p>
      <w:pPr>
        <w:numPr>
          <w:ilvl w:val="0"/>
          <w:numId w:val="2"/>
        </w:numPr>
        <w:spacing w:lineRule="auto"/>
      </w:pPr>
      <w:r>
        <w:rPr/>
        <w:t xml:space="preserve">W-01 Voedselveiligheid &amp; Allergenen (Plan: HACCP, procedures; Do: training, 4-ogen; Check: interne audits maand.; Act: CAPA binnen 48u)</w:t>
      </w:r>
    </w:p>
    <w:p>
      <w:pPr>
        <w:numPr>
          <w:ilvl w:val="1"/>
          <w:numId w:val="3"/>
        </w:numPr>
        <w:spacing w:lineRule="auto"/>
      </w:pPr>
      <w:r>
        <w:rPr/>
        <w:t xml:space="preserve">KPI: Allergenen-fouten = 0; First Time Right etikettering ≥ 99,9%</w:t>
      </w:r>
    </w:p>
    <w:p>
      <w:pPr>
        <w:numPr>
          <w:ilvl w:val="1"/>
          <w:numId w:val="3"/>
        </w:numPr>
        <w:spacing w:lineRule="auto"/>
      </w:pPr>
      <w:r>
        <w:rPr/>
        <w:t xml:space="preserve">Risico R1: Onjuiste allergeneninfo → ernstige incidenten</w:t>
      </w:r>
    </w:p>
    <w:p>
      <w:pPr>
        <w:numPr>
          <w:ilvl w:val="1"/>
          <w:numId w:val="3"/>
        </w:numPr>
        <w:spacing w:lineRule="auto"/>
      </w:pPr>
      <w:r>
        <w:rPr/>
        <w:t xml:space="preserve">Bewijs: Bijlage D, O, T</w:t>
      </w:r>
    </w:p>
    <w:p>
      <w:pPr>
        <w:numPr>
          <w:ilvl w:val="0"/>
          <w:numId w:val="2"/>
        </w:numPr>
        <w:spacing w:lineRule="auto"/>
      </w:pPr>
      <w:r>
        <w:rPr/>
        <w:t xml:space="preserve">W-02 Capaciteit &amp; Logistiek (Plan: capaciteitsmodel; Do: roosters, back-up crew/voertuig; Check: OTIF dag; Act: flexpool inzet)</w:t>
      </w:r>
    </w:p>
    <w:p>
      <w:pPr>
        <w:numPr>
          <w:ilvl w:val="1"/>
          <w:numId w:val="4"/>
        </w:numPr>
        <w:spacing w:lineRule="auto"/>
      </w:pPr>
      <w:r>
        <w:rPr/>
        <w:t xml:space="preserve">KPI: OTIF ≥ 98%; Leverfouten ≤ 0,5%</w:t>
      </w:r>
    </w:p>
    <w:p>
      <w:pPr>
        <w:numPr>
          <w:ilvl w:val="1"/>
          <w:numId w:val="4"/>
        </w:numPr>
        <w:spacing w:lineRule="auto"/>
      </w:pPr>
      <w:r>
        <w:rPr/>
        <w:t xml:space="preserve">Risico R2: Capaciteitstekort tijdens piek → te late levering</w:t>
      </w:r>
    </w:p>
    <w:p>
      <w:pPr>
        <w:numPr>
          <w:ilvl w:val="1"/>
          <w:numId w:val="4"/>
        </w:numPr>
        <w:spacing w:lineRule="auto"/>
      </w:pPr>
      <w:r>
        <w:rPr/>
        <w:t xml:space="preserve">Bewijs: Bijlage E, M, Q</w:t>
      </w:r>
    </w:p>
    <w:p>
      <w:pPr>
        <w:numPr>
          <w:ilvl w:val="0"/>
          <w:numId w:val="2"/>
        </w:numPr>
        <w:spacing w:lineRule="auto"/>
      </w:pPr>
      <w:r>
        <w:rPr/>
        <w:t xml:space="preserve">W-03 Duurzaam Inkopen (Plan: drempels ≥25% bio, ≥30% lokaal; Do: contracten; Check: maandrapport inkoopmix; Act: supplier switch)</w:t>
      </w:r>
    </w:p>
    <w:p>
      <w:pPr>
        <w:numPr>
          <w:ilvl w:val="1"/>
          <w:numId w:val="5"/>
        </w:numPr>
        <w:spacing w:lineRule="auto"/>
      </w:pPr>
      <w:r>
        <w:rPr/>
        <w:t xml:space="preserve">KPI: Bio-aandeel ≥ 25%; Lokaal/regionaal ≥ 30%</w:t>
      </w:r>
    </w:p>
    <w:p>
      <w:pPr>
        <w:numPr>
          <w:ilvl w:val="1"/>
          <w:numId w:val="5"/>
        </w:numPr>
        <w:spacing w:lineRule="auto"/>
      </w:pPr>
      <w:r>
        <w:rPr/>
        <w:t xml:space="preserve">Risico R3: Schaarste biologische producten → targetdaling</w:t>
      </w:r>
    </w:p>
    <w:p>
      <w:pPr>
        <w:numPr>
          <w:ilvl w:val="1"/>
          <w:numId w:val="5"/>
        </w:numPr>
        <w:spacing w:lineRule="auto"/>
      </w:pPr>
      <w:r>
        <w:rPr/>
        <w:t xml:space="preserve">Bewijs: Bijlage F, G, I</w:t>
      </w:r>
    </w:p>
    <w:p>
      <w:pPr>
        <w:numPr>
          <w:ilvl w:val="0"/>
          <w:numId w:val="2"/>
        </w:numPr>
        <w:spacing w:lineRule="auto"/>
      </w:pPr>
      <w:r>
        <w:rPr/>
        <w:t xml:space="preserve">W-04 Zero-waste &amp; Foodwaste (Plan: receptuur/portie; Do: herbruikbaar, donatie; Check: weging per locatie; Act: menu-aanpassing)</w:t>
      </w:r>
    </w:p>
    <w:p>
      <w:pPr>
        <w:numPr>
          <w:ilvl w:val="1"/>
          <w:numId w:val="6"/>
        </w:numPr>
        <w:spacing w:lineRule="auto"/>
      </w:pPr>
      <w:r>
        <w:rPr/>
        <w:t xml:space="preserve">KPI: Foodwaste ≤ 3%; Herbruikbaar aandeel verpakkingen ≥ 95%</w:t>
      </w:r>
    </w:p>
    <w:p>
      <w:pPr>
        <w:numPr>
          <w:ilvl w:val="1"/>
          <w:numId w:val="6"/>
        </w:numPr>
        <w:spacing w:lineRule="auto"/>
      </w:pPr>
      <w:r>
        <w:rPr/>
        <w:t xml:space="preserve">Risico R4: Onvoldoende scheiding → stijgende reststromen</w:t>
      </w:r>
    </w:p>
    <w:p>
      <w:pPr>
        <w:numPr>
          <w:ilvl w:val="1"/>
          <w:numId w:val="6"/>
        </w:numPr>
        <w:spacing w:lineRule="auto"/>
      </w:pPr>
      <w:r>
        <w:rPr/>
        <w:t xml:space="preserve">Bewijs: Bijlage H, I</w:t>
      </w:r>
    </w:p>
    <w:p>
      <w:pPr>
        <w:numPr>
          <w:ilvl w:val="0"/>
          <w:numId w:val="2"/>
        </w:numPr>
        <w:spacing w:lineRule="auto"/>
      </w:pPr>
      <w:r>
        <w:rPr/>
        <w:t xml:space="preserve">W-05 Digitaal Bestellen &amp; Dieetprofielen (Plan: datamodel; Do: profielkoppeling; Check: autorisaties/logging; Act: verbeterrelease)</w:t>
      </w:r>
    </w:p>
    <w:p>
      <w:pPr>
        <w:numPr>
          <w:ilvl w:val="1"/>
          <w:numId w:val="7"/>
        </w:numPr>
        <w:spacing w:lineRule="auto"/>
      </w:pPr>
      <w:r>
        <w:rPr/>
        <w:t xml:space="preserve">KPI: Systeem-uptime ≥ 99,5%; Profiel-match ≥ 99,9%</w:t>
      </w:r>
    </w:p>
    <w:p>
      <w:pPr>
        <w:numPr>
          <w:ilvl w:val="1"/>
          <w:numId w:val="7"/>
        </w:numPr>
        <w:spacing w:lineRule="auto"/>
      </w:pPr>
      <w:r>
        <w:rPr/>
        <w:t xml:space="preserve">Risico R5: Fout in profielkoppeling → fout gerecht</w:t>
      </w:r>
    </w:p>
    <w:p>
      <w:pPr>
        <w:numPr>
          <w:ilvl w:val="1"/>
          <w:numId w:val="7"/>
        </w:numPr>
        <w:spacing w:lineRule="auto"/>
      </w:pPr>
      <w:r>
        <w:rPr/>
        <w:t xml:space="preserve">Bewijs: Bijlage O, S</w:t>
      </w:r>
    </w:p>
    <w:p>
      <w:pPr>
        <w:numPr>
          <w:ilvl w:val="0"/>
          <w:numId w:val="2"/>
        </w:numPr>
        <w:spacing w:lineRule="auto"/>
      </w:pPr>
      <w:r>
        <w:rPr/>
        <w:t xml:space="preserve">W-06 Klantbeleving &amp; Kwaliteit (Plan: surveykalender; Do: proeverijen; Check: CSAT/NPS maand.; Act: menu-tuning)</w:t>
      </w:r>
    </w:p>
    <w:p>
      <w:pPr>
        <w:numPr>
          <w:ilvl w:val="1"/>
          <w:numId w:val="8"/>
        </w:numPr>
        <w:spacing w:lineRule="auto"/>
      </w:pPr>
      <w:r>
        <w:rPr/>
        <w:t xml:space="preserve">KPI: CSAT ≥ 8,2; NPS ≥ +40</w:t>
      </w:r>
    </w:p>
    <w:p>
      <w:pPr>
        <w:numPr>
          <w:ilvl w:val="1"/>
          <w:numId w:val="8"/>
        </w:numPr>
        <w:spacing w:lineRule="auto"/>
      </w:pPr>
      <w:r>
        <w:rPr/>
        <w:t xml:space="preserve">Risico R6: Menu mismatch → lagere tevredenheid</w:t>
      </w:r>
    </w:p>
    <w:p>
      <w:pPr>
        <w:numPr>
          <w:ilvl w:val="1"/>
          <w:numId w:val="8"/>
        </w:numPr>
        <w:spacing w:lineRule="auto"/>
      </w:pPr>
      <w:r>
        <w:rPr/>
        <w:t xml:space="preserve">Bewijs: Bijlage R, J</w:t>
      </w:r>
    </w:p>
    <w:p>
      <w:pPr>
        <w:numPr>
          <w:ilvl w:val="0"/>
          <w:numId w:val="2"/>
        </w:numPr>
        <w:spacing w:lineRule="auto"/>
      </w:pPr>
      <w:r>
        <w:rPr/>
        <w:t xml:space="preserve">W-07 Multi-locaties &amp; Vensters (Plan: venstermatrix; Do: dynamische routing; Check: dagrapport; Act: herplanning)</w:t>
      </w:r>
    </w:p>
    <w:p>
      <w:pPr>
        <w:numPr>
          <w:ilvl w:val="1"/>
          <w:numId w:val="9"/>
        </w:numPr>
        <w:spacing w:lineRule="auto"/>
      </w:pPr>
      <w:r>
        <w:rPr/>
        <w:t xml:space="preserve">KPI: Venster-naleving ≥ 98%; Aantal spoedritten ≤ 2/mnd</w:t>
      </w:r>
    </w:p>
    <w:p>
      <w:pPr>
        <w:numPr>
          <w:ilvl w:val="1"/>
          <w:numId w:val="9"/>
        </w:numPr>
        <w:spacing w:lineRule="auto"/>
      </w:pPr>
      <w:r>
        <w:rPr/>
        <w:t xml:space="preserve">Risico R7: Stadslogistiek verstoring → vensteroverschrijding</w:t>
      </w:r>
    </w:p>
    <w:p>
      <w:pPr>
        <w:numPr>
          <w:ilvl w:val="1"/>
          <w:numId w:val="9"/>
        </w:numPr>
        <w:spacing w:lineRule="auto"/>
      </w:pPr>
      <w:r>
        <w:rPr/>
        <w:t xml:space="preserve">Bewijs: Bijlage M, Q</w:t>
      </w:r>
    </w:p>
    <w:p>
      <w:pPr>
        <w:numPr>
          <w:ilvl w:val="0"/>
          <w:numId w:val="2"/>
        </w:numPr>
        <w:spacing w:lineRule="auto"/>
      </w:pPr>
      <w:r>
        <w:rPr/>
        <w:t xml:space="preserve">W-08 AVG &amp; Privacy (Plan: DPIA/VWO; Do: RBAC, encryptie; Check: logs/pen-test; Act: hardening)</w:t>
      </w:r>
    </w:p>
    <w:p>
      <w:pPr>
        <w:numPr>
          <w:ilvl w:val="1"/>
          <w:numId w:val="10"/>
        </w:numPr>
        <w:spacing w:lineRule="auto"/>
      </w:pPr>
      <w:r>
        <w:rPr/>
        <w:t xml:space="preserve">KPI: Datalekken = 0; Beantwoording AVG-verzoek ≤ 30 dagen</w:t>
      </w:r>
    </w:p>
    <w:p>
      <w:pPr>
        <w:numPr>
          <w:ilvl w:val="1"/>
          <w:numId w:val="10"/>
        </w:numPr>
        <w:spacing w:lineRule="auto"/>
      </w:pPr>
      <w:r>
        <w:rPr/>
        <w:t xml:space="preserve">Risico R8: Ongeautoriseerde toegang → datalek</w:t>
      </w:r>
    </w:p>
    <w:p>
      <w:pPr>
        <w:numPr>
          <w:ilvl w:val="1"/>
          <w:numId w:val="10"/>
        </w:numPr>
        <w:spacing w:lineRule="auto"/>
      </w:pPr>
      <w:r>
        <w:rPr/>
        <w:t xml:space="preserve">Bewijs: Bijlage N, S</w:t>
      </w:r>
    </w:p>
    <w:p>
      <w:pPr>
        <w:spacing w:lineRule="auto"/>
      </w:pPr>
      <w:r>
        <w:rPr/>
        <w:t xml:space="preserve">EMVI-bijdrage (koppeling aan matrix):</w:t>
      </w:r>
    </w:p>
    <w:p>
      <w:pPr>
        <w:numPr>
          <w:ilvl w:val="0"/>
          <w:numId w:val="11"/>
        </w:numPr>
        <w:spacing w:lineRule="auto"/>
      </w:pPr>
      <w:r>
        <w:rPr/>
        <w:t xml:space="preserve">Kwaliteit: W-01, W-05, W-06 verhogen FTR, CSAT en foutloos etiketteren.</w:t>
      </w:r>
    </w:p>
    <w:p>
      <w:pPr>
        <w:numPr>
          <w:ilvl w:val="0"/>
          <w:numId w:val="11"/>
        </w:numPr>
        <w:spacing w:lineRule="auto"/>
      </w:pPr>
      <w:r>
        <w:rPr/>
        <w:t xml:space="preserve">Duurzaamheid: W-03, W-04 realiseren bio/lokaal en zero-waste met meetbare KPI’s.</w:t>
      </w:r>
    </w:p>
    <w:p>
      <w:pPr>
        <w:numPr>
          <w:ilvl w:val="0"/>
          <w:numId w:val="11"/>
        </w:numPr>
        <w:spacing w:lineRule="auto"/>
      </w:pPr>
      <w:r>
        <w:rPr/>
        <w:t xml:space="preserve">Risicobeheersing: W-02, W-07, W-08 met FMEA en back-ups.</w:t>
      </w:r>
    </w:p>
    <w:p>
      <w:pPr>
        <w:numPr>
          <w:ilvl w:val="0"/>
          <w:numId w:val="11"/>
        </w:numPr>
        <w:spacing w:lineRule="auto"/>
      </w:pPr>
      <w:r>
        <w:rPr/>
        <w:t xml:space="preserve">Prijs: Efficiënte routing en waste-reductie drukken TCO.</w:t>
      </w:r>
    </w:p>
    <w:p>
      <w:pPr>
        <w:spacing w:lineRule="auto"/>
      </w:pPr>
      <w:r>
        <w:rPr/>
        <w:t xml:space="preserve">Bijlagenoverzicht (verwezen in tabel):</w:t>
      </w:r>
    </w:p>
    <w:p>
      <w:pPr>
        <w:numPr>
          <w:ilvl w:val="0"/>
          <w:numId w:val="12"/>
        </w:numPr>
        <w:spacing w:lineRule="auto"/>
      </w:pPr>
      <w:r>
        <w:rPr/>
        <w:t xml:space="preserve">A: UEA Caternext B.V. (getekend)</w:t>
      </w:r>
    </w:p>
    <w:p>
      <w:pPr>
        <w:numPr>
          <w:ilvl w:val="0"/>
          <w:numId w:val="12"/>
        </w:numPr>
        <w:spacing w:lineRule="auto"/>
      </w:pPr>
      <w:r>
        <w:rPr/>
        <w:t xml:space="preserve">B: Uittreksel KVK + BTW-registratie</w:t>
      </w:r>
    </w:p>
    <w:p>
      <w:pPr>
        <w:numPr>
          <w:ilvl w:val="0"/>
          <w:numId w:val="12"/>
        </w:numPr>
        <w:spacing w:lineRule="auto"/>
      </w:pPr>
      <w:r>
        <w:rPr/>
        <w:t xml:space="preserve">C: ISO 22000 certificaat (kopie + scope)</w:t>
      </w:r>
    </w:p>
    <w:p>
      <w:pPr>
        <w:numPr>
          <w:ilvl w:val="0"/>
          <w:numId w:val="12"/>
        </w:numPr>
        <w:spacing w:lineRule="auto"/>
      </w:pPr>
      <w:r>
        <w:rPr/>
        <w:t xml:space="preserve">D: HACCP-plan + laatste auditrapport</w:t>
      </w:r>
    </w:p>
    <w:p>
      <w:pPr>
        <w:numPr>
          <w:ilvl w:val="0"/>
          <w:numId w:val="12"/>
        </w:numPr>
        <w:spacing w:lineRule="auto"/>
      </w:pPr>
      <w:r>
        <w:rPr/>
        <w:t xml:space="preserve">E: Capaciteitsberekening en personeels-/apparatuurrooster</w:t>
      </w:r>
    </w:p>
    <w:p>
      <w:pPr>
        <w:numPr>
          <w:ilvl w:val="0"/>
          <w:numId w:val="12"/>
        </w:numPr>
        <w:spacing w:lineRule="auto"/>
      </w:pPr>
      <w:r>
        <w:rPr/>
        <w:t xml:space="preserve">F: Inkoopbeleid Duurzaam (bio/lokaal drempels)</w:t>
      </w:r>
    </w:p>
    <w:p>
      <w:pPr>
        <w:numPr>
          <w:ilvl w:val="0"/>
          <w:numId w:val="12"/>
        </w:numPr>
        <w:spacing w:lineRule="auto"/>
      </w:pPr>
      <w:r>
        <w:rPr/>
        <w:t xml:space="preserve">G: Leveranciers- en certificatenmap (incl. SKAL-erkende partners)</w:t>
      </w:r>
    </w:p>
    <w:p>
      <w:pPr>
        <w:numPr>
          <w:ilvl w:val="0"/>
          <w:numId w:val="12"/>
        </w:numPr>
        <w:spacing w:lineRule="auto"/>
      </w:pPr>
      <w:r>
        <w:rPr/>
        <w:t xml:space="preserve">H: Zero-waste &amp; verpakkingsprotocol</w:t>
      </w:r>
    </w:p>
    <w:p>
      <w:pPr>
        <w:numPr>
          <w:ilvl w:val="0"/>
          <w:numId w:val="12"/>
        </w:numPr>
        <w:spacing w:lineRule="auto"/>
      </w:pPr>
      <w:r>
        <w:rPr/>
        <w:t xml:space="preserve">I: Duurzaamheids- en foodwaste-dashboards (voorbeelden)</w:t>
      </w:r>
    </w:p>
    <w:p>
      <w:pPr>
        <w:numPr>
          <w:ilvl w:val="0"/>
          <w:numId w:val="12"/>
        </w:numPr>
        <w:spacing w:lineRule="auto"/>
      </w:pPr>
      <w:r>
        <w:rPr/>
        <w:t xml:space="preserve">J: KPI-overzicht &amp; meet-/SLA-plan</w:t>
      </w:r>
    </w:p>
    <w:p>
      <w:pPr>
        <w:numPr>
          <w:ilvl w:val="0"/>
          <w:numId w:val="12"/>
        </w:numPr>
        <w:spacing w:lineRule="auto"/>
      </w:pPr>
      <w:r>
        <w:rPr/>
        <w:t xml:space="preserve">K: Risicodossier (FMEA)</w:t>
      </w:r>
    </w:p>
    <w:p>
      <w:pPr>
        <w:numPr>
          <w:ilvl w:val="0"/>
          <w:numId w:val="12"/>
        </w:numPr>
        <w:spacing w:lineRule="auto"/>
      </w:pPr>
      <w:r>
        <w:rPr/>
        <w:t xml:space="preserve">L: Plan van Aanpak implementatie</w:t>
      </w:r>
    </w:p>
    <w:p>
      <w:pPr>
        <w:numPr>
          <w:ilvl w:val="0"/>
          <w:numId w:val="12"/>
        </w:numPr>
        <w:spacing w:lineRule="auto"/>
      </w:pPr>
      <w:r>
        <w:rPr/>
        <w:t xml:space="preserve">M: Route- en leveringsplan + venstermatrix</w:t>
      </w:r>
    </w:p>
    <w:p>
      <w:pPr>
        <w:numPr>
          <w:ilvl w:val="0"/>
          <w:numId w:val="12"/>
        </w:numPr>
        <w:spacing w:lineRule="auto"/>
      </w:pPr>
      <w:r>
        <w:rPr/>
        <w:t xml:space="preserve">N: DPIA + Verwerkersovereenkomst (concept)</w:t>
      </w:r>
    </w:p>
    <w:p>
      <w:pPr>
        <w:numPr>
          <w:ilvl w:val="0"/>
          <w:numId w:val="12"/>
        </w:numPr>
        <w:spacing w:lineRule="auto"/>
      </w:pPr>
      <w:r>
        <w:rPr/>
        <w:t xml:space="preserve">O: Bestelsysteem-screenshots (allergenen/dieet)</w:t>
      </w:r>
    </w:p>
    <w:p>
      <w:pPr>
        <w:numPr>
          <w:ilvl w:val="0"/>
          <w:numId w:val="12"/>
        </w:numPr>
        <w:spacing w:lineRule="auto"/>
      </w:pPr>
      <w:r>
        <w:rPr/>
        <w:t xml:space="preserve">P: Productspecificaties herbruikbare verpakkingen</w:t>
      </w:r>
    </w:p>
    <w:p>
      <w:pPr>
        <w:numPr>
          <w:ilvl w:val="0"/>
          <w:numId w:val="12"/>
        </w:numPr>
        <w:spacing w:lineRule="auto"/>
      </w:pPr>
      <w:r>
        <w:rPr/>
        <w:t xml:space="preserve">Q: SLA-dashboard (OTIF) voorbeeldrapport</w:t>
      </w:r>
    </w:p>
    <w:p>
      <w:pPr>
        <w:numPr>
          <w:ilvl w:val="0"/>
          <w:numId w:val="12"/>
        </w:numPr>
        <w:spacing w:lineRule="auto"/>
      </w:pPr>
      <w:r>
        <w:rPr/>
        <w:t xml:space="preserve">R: Enquêteformat + voorbeeld klanttevredenheidsrapport</w:t>
      </w:r>
    </w:p>
    <w:p>
      <w:pPr>
        <w:numPr>
          <w:ilvl w:val="0"/>
          <w:numId w:val="12"/>
        </w:numPr>
        <w:spacing w:lineRule="auto"/>
      </w:pPr>
      <w:r>
        <w:rPr/>
        <w:t xml:space="preserve">S: Security-overzicht (RBAC, logging, encryptie)</w:t>
      </w:r>
    </w:p>
    <w:p>
      <w:pPr>
        <w:numPr>
          <w:ilvl w:val="0"/>
          <w:numId w:val="12"/>
        </w:numPr>
        <w:spacing w:lineRule="auto"/>
      </w:pPr>
      <w:r>
        <w:rPr/>
        <w:t xml:space="preserve">T: Recall test- en traceerbaarheidsrapport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