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Dashboard – Raamovereenkomst Duurzame Catering en Bedrijfslunch 2026–2030 (Caternext B.V. – GEM-AMS-CATER-2026-014)</w:t>
      </w:r>
    </w:p>
    <w:p>
      <w:pPr>
        <w:spacing w:lineRule="auto"/>
      </w:pPr>
      <w:r>
        <w:rPr/>
        <w:t xml:space="preserve">Doel en PDCA-sturing</w:t>
      </w:r>
    </w:p>
    <w:p>
      <w:pPr>
        <w:numPr>
          <w:ilvl w:val="0"/>
          <w:numId w:val="1"/>
        </w:numPr>
        <w:spacing w:lineRule="auto"/>
      </w:pPr>
      <w:r>
        <w:rPr/>
        <w:t xml:space="preserve">Plan: KPI/SLA’s borgen wettelijke eisen (EU 1169/2011), KO’s (HACCP/ISO 22000, capaciteit), MUST’s (bio/lokaal, zero-waste, allergenen/dieet), en EMVI-criteria (Kwaliteit, Duurzaamheid, Risicobeheersing, Prijs).</w:t>
      </w:r>
    </w:p>
    <w:p>
      <w:pPr>
        <w:numPr>
          <w:ilvl w:val="0"/>
          <w:numId w:val="1"/>
        </w:numPr>
        <w:spacing w:lineRule="auto"/>
      </w:pPr>
      <w:r>
        <w:rPr/>
        <w:t xml:space="preserve">Do: Dagelijkse uitvoering via menu-engine, allergenenbeheersysteem, IoT-temperaturloggers, digitale bestellingen en logistieke scanflow.</w:t>
      </w:r>
    </w:p>
    <w:p>
      <w:pPr>
        <w:numPr>
          <w:ilvl w:val="0"/>
          <w:numId w:val="1"/>
        </w:numPr>
        <w:spacing w:lineRule="auto"/>
      </w:pPr>
      <w:r>
        <w:rPr/>
        <w:t xml:space="preserve">Check: Dagelijkse dashboards (operatie), weekreviews (locatiechef/QA), maandelijkse contractrapportage aan Gemeente Amsterdam, kwartaal-QBR met verbeterplan.</w:t>
      </w:r>
    </w:p>
    <w:p>
      <w:pPr>
        <w:numPr>
          <w:ilvl w:val="0"/>
          <w:numId w:val="1"/>
        </w:numPr>
        <w:spacing w:lineRule="auto"/>
      </w:pPr>
      <w:r>
        <w:rPr/>
        <w:t xml:space="preserve">Act: CAPA-proces met root cause binnen 48 uur, structurele maatregel binnen 30 dagen, effectmeting op KPI-trend; wijzigingen via change control.</w:t>
      </w:r>
    </w:p>
    <w:p>
      <w:pPr>
        <w:spacing w:lineRule="auto"/>
      </w:pPr>
      <w:r>
        <w:rPr/>
        <w:t xml:space="preserve">Legenda koppelingen</w:t>
      </w:r>
    </w:p>
    <w:p>
      <w:pPr>
        <w:numPr>
          <w:ilvl w:val="0"/>
          <w:numId w:val="2"/>
        </w:numPr>
        <w:spacing w:lineRule="auto"/>
      </w:pPr>
      <w:r>
        <w:rPr/>
        <w:t xml:space="preserve">W-01: KO HACCP/ISO 22000; W-02: KO Capaciteit ≥500 couverts/dag; W-03: MUST Allergenenregistratie + dieetprofielen (EU 1169/2011); W-04: MUST ≥25% biologisch; W-05: MUST ≥30% lokaal/regionaal; W-06: MUST Foodwaste &lt;3%; W-07: MUST Zero-waste verpakkingen; W-08: MUST Digitaal bestelsysteem met dieetprofielen; W-09: Vensters 11:00–13:30, meerdere locaties; W-10: EMVI Kwaliteit; W-11: EMVI Duurzaamheid; W-12: EMVI Risicobeheersing; W-13: EMVI Prijs.</w:t>
      </w:r>
    </w:p>
    <w:p>
      <w:pPr>
        <w:numPr>
          <w:ilvl w:val="0"/>
          <w:numId w:val="2"/>
        </w:numPr>
        <w:spacing w:lineRule="auto"/>
      </w:pPr>
      <w:r>
        <w:rPr/>
        <w:t xml:space="preserve">Risico’s: R-01 Late levering; R-02 Incomplete levering; R-03 Allergeenincident; R-04 IT-storing; R-05 Foodwaste &gt;3%; R-06 Onvoldoende bio/lokaal; R-07 Temperatuuroverschrijding; R-08 Verpakkingsverlies; R-09 Lage klanttevredenheid; R-10 Capaciteitspiek; R-11 Factuurafwijking; R-12 CO2-doel gemist.</w:t>
      </w:r>
    </w:p>
    <w:p>
      <w:pPr>
        <w:numPr>
          <w:ilvl w:val="0"/>
          <w:numId w:val="2"/>
        </w:numPr>
        <w:spacing w:lineRule="auto"/>
      </w:pPr>
      <w:r>
        <w:rPr/>
        <w:t xml:space="preserve">Bewijs: EV-01 GPS/tijdscan levering; EV-02 Order- vs leveringsrapport; EV-03 Allergenlogs + trainingsbewijzen; EV-04 Uptime/monitoringlog; EV-05 Weegdata/afvalrapport; EV-06 Inkoopfacturen/CoA bio/lokaal; EV-07 Temperatuurloggers/calibratie; EV-08 Herbruikbaar-omlooprapport; EV-09 CSAT-enquêtes; EV-10 Capaciteits-/productielog; EV-11 Factuur-audit; EV-12 CO2e-tool export; EV-13 ISO/HACCP audits.</w:t>
      </w:r>
    </w:p>
    <w:p>
      <w:pPr>
        <w:spacing w:lineRule="auto"/>
      </w:pPr>
      <w:r>
        <w:rPr/>
        <w:t xml:space="preserve">KPI/SLA-overzicht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Op tijd geleverd (per locatie)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≥98,0% van zendingen binnen afgesproken venster 11:00–13:30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Tijdsregistratie via GPS + scan bij overdracht per locatie (EV-01)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gerapporteerd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 dagscore: binnen 15 min naar Logistiek Coördinator; bij herhaling &gt;1 dag binnen 24 uur naar Contractmanager en melding aan opdrachtgever; RCA binnen 48 uur, CAPA binnen 7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Logistiek 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W-09, W-10; Risico R-01; Bewijs EV-01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Leveringsvolledigheid en -juistheid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≥99,5% orderregels volledig en juist geleverd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WMS-vergelijking order vs afleverbon, afwijkingsrapport (EV-02)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weektrend,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&gt;0,5% afwijking dag: binnen 30 min Locatiechef; &gt;2 dagen trend: Contractmanager + 5-Why binnen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Locatiechef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Risico R-02; Bewijs EV-02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Allergenenlabeling-nauwkeurigheid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correcte allergeneninfo; fouten =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Systeemafdwinging + steekproef 2% van items/dag; afwijkingregistratie (EV-03)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Enkele fout: direct blokkade partij, QA binnen 10 min; rapportage aan opdrachtgever binnen 2 uur; RCA 24 uur; her-train binnen 72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QA/HACCP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W-10; Risico R-03; Bewijs EV-03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Allergeenincidenten (klantimpact)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per periode; 0 tolerantie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Incidentlog + medische/klantmelding koppeling (EV-03)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levensmiddelenalarm; arts/112 indien nodig; melding opdrachtgever binnen 30 min; volledige traceerbaarheid 2 uur; CAPA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QA/HACCP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W-12; Risico R-03; Bewijs EV-03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Dieetprofiel-match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≥99,8% conform profiel (vega/vegan/glutenvrij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dieetprofielen + pick-by-light validatie; steekproef 50 maaltijden/locatie/week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 controles, weekrapport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&lt;99,8% week: herconfiguratie menu-engine binnen 24 uur; extra QA-controle 1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QA/HACCP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W-08, W-10; Risico R-03; Bewijs EV-03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Klanttevredenheid (CSAT)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Gem. ≥8,2/10; respons ≥200/mnd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QR-survey per locatie; sentimentanalyse open feedback (EV-09)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Continu,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&lt;8,2 maand: binnen 5 werkdagen verbeteractie met 2 quick wins; QBR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W-10, W-12; Risico R-09; Bewijs EV-09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Foodwaste-percentage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&lt;3,0% van bereide massa per locatie (maandgemiddelde); dagalert bij &gt;4%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Slimme weegschalen, afvalregistratie, verbruik vs forecast (EV-05)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 logging;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 &gt;4%: binnen 24 uur menu-aanpassing/portiecorrectie; maand ≥3%: waste-kaizen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W-11; Risico R-05; Bewijs EV-05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Herbruikbare verpakking retour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≥95% retour binnen 48 uur; single-use plastic 0 (wettelijke uitzonderingen gedocumenteerd)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QR/ RFID-tracking omloop; voorraadverschil (EV-08)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weekrapport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 week: binnen 48 uur aanvullende inzameling; herinstructie gebruikers; structurele maatregel binnen 14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Logistiek 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W-07, W-11; Risico R-08; Bewijs EV-08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Biologisch aandeel (waarde)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≥25,0% van inkoopwaarde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Factuur- en artikelcertificering (SKAL/CoA) (EV-06)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&lt;25% maand: binnen 5 werkdagen inkoopherstelplan; vervangende leveranciers binnen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W-11; Risico R-06; Bewijs EV-06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Lokaal/regionaal aandeel (waarde)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≥30,0% van inkoopwaarde per maand (NL/regio ≤150 km)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Leveranciersherkomst + factuurdata (EV-06)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&lt;30% maand: regionale bundeling/contractswitch binnen 30 dagen; voortgang 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W-05, W-11; Risico R-06; Bewijs EV-06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Koude-/warme-keten conformiteit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≥99,9% metingen binnen norm (koel 0–7°C, warm ≥63°C)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IoT-loggers transport/uitgifte, kalibratiecert. (EV-07)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 logging; dagreview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directe blokkade/afkeur; melding QA binnen 10 min; RCA 24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QA/HACCP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W-10; Risico R-07; Bewijs EV-07, EV-13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Incidentrespons (kritiek: levering/veiligheid)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Acknowledge ≤10 min; mitigatie ≤30 min; herstel ≤60 min (≥90% van cases binnen venstertijden)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Servicedesk IT/Operations ticketing, tijdstempels (EV-04)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escalatie naar Contractmanager; bij herhaling: problem management binnen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W-09, W-12; Risico R-01/R-03/R-04; Bewijs EV-04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Digitale bestelportal beschikbaarheid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≥99,90% uptime 07:00–22:00; RTO 30 min, RPO 15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(APM), synthetische checks (EV-04)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&lt;99,9% maand: post-incident review 48 uur; verbetermaatregel 14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Operations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W-08, W-12; Risico R-04; Bewijs EV-04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Capaciteit en flexibiliteit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≥500 couverts/dag geleverd; opschaling +20% binnen 24 uur op verzoek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Productie- en personeelslog; capaciteitsdashboard (EV-10)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Niet gehaald: direct extra ploeg/uitbesteding Fresh&amp;Local Coöp; melding binnen 2 uur; structureel plan 7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W-02, W-10, W-12; Risico R-10; Bewijs EV-10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Prijs- en factuurcorrectheid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≥99,9% foutloze factuurregels; 0% prijsafwijking t.o.v. prijslijst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3-way match (bestelling–levering–factuur) (EV-11)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&lt;99,9%: herfacturatie binnen 5 werkdagen; foutoorzaak opgelost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W-13, W-12; Risico R-11; Bewijs EV-11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CO2e per maaltijd (well-to-plate)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≤1,20 kg CO2e/maaltijd, jaarlijkse reductie ≥5% YoY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Gerechten-LCA via erkende tool (bijv. RIVM/food LCA), mix-rapport (EV-12)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jaartrendanalyse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Overschrijding: menu-herontwerp binnen 30 dagen; leverancierswitch indien nodig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W-11, W-12; Risico R-12; Bewijs EV-12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Borging kwaliteit, risico en bewijsvoering</w:t>
      </w:r>
    </w:p>
    <w:p>
      <w:pPr>
        <w:numPr>
          <w:ilvl w:val="0"/>
          <w:numId w:val="3"/>
        </w:numPr>
        <w:spacing w:lineRule="auto"/>
      </w:pPr>
      <w:r>
        <w:rPr/>
        <w:t xml:space="preserve">Kwaliteit (W-10): KPI 1,2,3,5,6,11,12,14 sturen op service-excellentie; bewijzen via EV-01/02/03/07/04/10.</w:t>
      </w:r>
    </w:p>
    <w:p>
      <w:pPr>
        <w:numPr>
          <w:ilvl w:val="0"/>
          <w:numId w:val="3"/>
        </w:numPr>
        <w:spacing w:lineRule="auto"/>
      </w:pPr>
      <w:r>
        <w:rPr/>
        <w:t xml:space="preserve">Duurzaamheid (W-11): KPI 7,8,9,10,16; bewijzen via EV-05/08/06/12.</w:t>
      </w:r>
    </w:p>
    <w:p>
      <w:pPr>
        <w:numPr>
          <w:ilvl w:val="0"/>
          <w:numId w:val="3"/>
        </w:numPr>
        <w:spacing w:lineRule="auto"/>
      </w:pPr>
      <w:r>
        <w:rPr/>
        <w:t xml:space="preserve">Risicobeheersing (W-12): Escalatie- en CAPA-regels zijn per KPI uitgewerkt met responstijden; incidenten en problem management vastgelegd in tickets met RCA binnen 48 uur.</w:t>
      </w:r>
    </w:p>
    <w:p>
      <w:pPr>
        <w:numPr>
          <w:ilvl w:val="0"/>
          <w:numId w:val="3"/>
        </w:numPr>
        <w:spacing w:lineRule="auto"/>
      </w:pPr>
      <w:r>
        <w:rPr/>
        <w:t xml:space="preserve">Prijs (W-13): KPI 15 borgt prijsdiscipline en transparantie.</w:t>
      </w:r>
    </w:p>
    <w:p>
      <w:pPr>
        <w:spacing w:lineRule="auto"/>
      </w:pPr>
      <w:r>
        <w:rPr/>
        <w:t xml:space="preserve">Rapportage en overlegcyclus</w:t>
      </w:r>
    </w:p>
    <w:p>
      <w:pPr>
        <w:numPr>
          <w:ilvl w:val="0"/>
          <w:numId w:val="4"/>
        </w:numPr>
        <w:spacing w:lineRule="auto"/>
      </w:pPr>
      <w:r>
        <w:rPr/>
        <w:t xml:space="preserve">Dagelijks: operationeel dashboard per locatie (op tijd, volledigheid, temperatuur, allergenen).</w:t>
      </w:r>
    </w:p>
    <w:p>
      <w:pPr>
        <w:numPr>
          <w:ilvl w:val="0"/>
          <w:numId w:val="4"/>
        </w:numPr>
        <w:spacing w:lineRule="auto"/>
      </w:pPr>
      <w:r>
        <w:rPr/>
        <w:t xml:space="preserve">Wekelijks: performance review met locaties (waste/kwaliteit/incidenten); actiepuntenlijst met eigenaar en deadline.</w:t>
      </w:r>
    </w:p>
    <w:p>
      <w:pPr>
        <w:numPr>
          <w:ilvl w:val="0"/>
          <w:numId w:val="4"/>
        </w:numPr>
        <w:spacing w:lineRule="auto"/>
      </w:pPr>
      <w:r>
        <w:rPr/>
        <w:t xml:space="preserve">Maandelijks: KPI-rapportage aan Gemeente Amsterdam inclusief CAPA-status, inkoopmix (bio/lokaal), CO2e, CSAT, factuur-audit.</w:t>
      </w:r>
    </w:p>
    <w:p>
      <w:pPr>
        <w:numPr>
          <w:ilvl w:val="0"/>
          <w:numId w:val="4"/>
        </w:numPr>
        <w:spacing w:lineRule="auto"/>
      </w:pPr>
      <w:r>
        <w:rPr/>
        <w:t xml:space="preserve">Per kwartaal (QBR): trendanalyse, PDCA-resultaten, roadmap verbeteringen, evaluatie EMVI-doelrealisatie en risicodossier-update.</w:t>
      </w:r>
    </w:p>
    <w:p>
      <w:pPr>
        <w:spacing w:lineRule="auto"/>
      </w:pPr>
      <w:r>
        <w:rPr/>
        <w:t xml:space="preserve">Compliance en audits</w:t>
      </w:r>
    </w:p>
    <w:p>
      <w:pPr>
        <w:numPr>
          <w:ilvl w:val="0"/>
          <w:numId w:val="5"/>
        </w:numPr>
        <w:spacing w:lineRule="auto"/>
      </w:pPr>
      <w:r>
        <w:rPr/>
        <w:t xml:space="preserve">ISO 22000/HACCP (W-01): jaarlijkse externe audit; interne audits per kwartaal (EV-13).</w:t>
      </w:r>
    </w:p>
    <w:p>
      <w:pPr>
        <w:numPr>
          <w:ilvl w:val="0"/>
          <w:numId w:val="5"/>
        </w:numPr>
        <w:spacing w:lineRule="auto"/>
      </w:pPr>
      <w:r>
        <w:rPr/>
        <w:t xml:space="preserve">EU 1169/2011 (W-03): allergenenregistratie en training 100% geborgd en aantoonbaar (EV-03).</w:t>
      </w:r>
    </w:p>
    <w:p>
      <w:pPr>
        <w:numPr>
          <w:ilvl w:val="0"/>
          <w:numId w:val="5"/>
        </w:numPr>
        <w:spacing w:lineRule="auto"/>
      </w:pPr>
      <w:r>
        <w:rPr/>
        <w:t xml:space="preserve">Traceerbaarheid: batch- en temperatuurdata beschikbaar binnen 2 uur bij verzoek.</w:t>
      </w:r>
    </w:p>
    <w:p>
      <w:pPr>
        <w:spacing w:lineRule="auto"/>
      </w:pPr>
      <w:r>
        <w:rPr/>
        <w:t xml:space="preserve">Datadeling</w:t>
      </w:r>
    </w:p>
    <w:p>
      <w:pPr>
        <w:numPr>
          <w:ilvl w:val="0"/>
          <w:numId w:val="6"/>
        </w:numPr>
        <w:spacing w:lineRule="auto"/>
      </w:pPr>
      <w:r>
        <w:rPr/>
        <w:t xml:space="preserve">Gemeente Amsterdam krijgt toegang tot real-time webdashboard en maandelijkse datadumps (CSV/PDF) met onderliggende EV-logs.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