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Doel en uitgangspunten</w:t>
      </w:r>
    </w:p>
    <w:p>
      <w:pPr>
        <w:numPr>
          <w:ilvl w:val="0"/>
          <w:numId w:val="1"/>
        </w:numPr>
        <w:spacing w:lineRule="auto"/>
      </w:pPr>
      <w:r>
        <w:rPr/>
        <w:t xml:space="preserve">Doel: aanleveren van 3–5 aantoonbare referentieprojecten voor bedrijfslunch/catering die qua schaal, eisen en KPI’s aantoonbaar vergelijkbaar zijn met GEM-AMS-CATER-2026-014.</w:t>
      </w:r>
    </w:p>
    <w:p>
      <w:pPr>
        <w:numPr>
          <w:ilvl w:val="0"/>
          <w:numId w:val="1"/>
        </w:numPr>
        <w:spacing w:lineRule="auto"/>
      </w:pPr>
      <w:r>
        <w:rPr/>
        <w:t xml:space="preserve">Uitgangspunten: SMART, PDCA en auditbaar. Geen aannames of niet-geverifieerde claims; ieder resultaat wordt onderbouwd met bewijsstukken (bewijslast beschikbaar voor inzage).</w:t>
      </w:r>
    </w:p>
    <w:p>
      <w:pPr>
        <w:numPr>
          <w:ilvl w:val="0"/>
          <w:numId w:val="1"/>
        </w:numPr>
        <w:spacing w:lineRule="auto"/>
      </w:pPr>
      <w:r>
        <w:rPr/>
        <w:t xml:space="preserve">Koppeling: per referentie leggen wij expliciet de kruisverwijzing W-xx → KPI → Risico → Bewijs vast, zodat vergelijkbaarheid, beheersing en resultaten objectief controleerbaar zijn.</w:t>
      </w:r>
    </w:p>
    <w:p>
      <w:pPr>
        <w:spacing w:lineRule="auto"/>
      </w:pPr>
      <w:r>
        <w:rPr/>
        <w:t xml:space="preserve">Uniforme opmaak per referentie (op te nemen zodra gegevens zijn aangeleverd) Voor elk project nemen wij consequent de volgende onderdelen op, met een mini-tabel en PDCA-samenvatting:</w:t>
      </w:r>
    </w:p>
    <w:p>
      <w:pPr>
        <w:numPr>
          <w:ilvl w:val="0"/>
          <w:numId w:val="2"/>
        </w:numPr>
        <w:spacing w:lineRule="auto"/>
      </w:pPr>
      <w:r>
        <w:rPr/>
        <w:t xml:space="preserve">Mini-tabel (feiten)</w:t>
      </w:r>
    </w:p>
    <w:p>
      <w:pPr>
        <w:numPr>
          <w:ilvl w:val="0"/>
          <w:numId w:val="3"/>
        </w:numPr>
        <w:spacing w:lineRule="auto"/>
      </w:pPr>
      <w:r>
        <w:rPr/>
        <w:t xml:space="preserve">Opdrachtgever</w:t>
      </w:r>
    </w:p>
    <w:p>
      <w:pPr>
        <w:numPr>
          <w:ilvl w:val="0"/>
          <w:numId w:val="3"/>
        </w:numPr>
        <w:spacing w:lineRule="auto"/>
      </w:pPr>
      <w:r>
        <w:rPr/>
        <w:t xml:space="preserve">Periode (MM/JJJJ–MM/JJJJ)</w:t>
      </w:r>
    </w:p>
    <w:p>
      <w:pPr>
        <w:numPr>
          <w:ilvl w:val="0"/>
          <w:numId w:val="3"/>
        </w:numPr>
        <w:spacing w:lineRule="auto"/>
      </w:pPr>
      <w:r>
        <w:rPr/>
        <w:t xml:space="preserve">Scope en volumes (locaties, couverts/dag, dieetprofielen)</w:t>
      </w:r>
    </w:p>
    <w:p>
      <w:pPr>
        <w:numPr>
          <w:ilvl w:val="0"/>
          <w:numId w:val="3"/>
        </w:numPr>
        <w:spacing w:lineRule="auto"/>
      </w:pPr>
      <w:r>
        <w:rPr/>
        <w:t xml:space="preserve">Reikwijdte W-xx (zie W-01 t/m W-07 onderaan)</w:t>
      </w:r>
    </w:p>
    <w:p>
      <w:pPr>
        <w:numPr>
          <w:ilvl w:val="0"/>
          <w:numId w:val="3"/>
        </w:numPr>
        <w:spacing w:lineRule="auto"/>
      </w:pPr>
      <w:r>
        <w:rPr/>
        <w:t xml:space="preserve">KPI-resultaten (gemiddelde en P95 waar relevant)</w:t>
      </w:r>
    </w:p>
    <w:p>
      <w:pPr>
        <w:numPr>
          <w:ilvl w:val="0"/>
          <w:numId w:val="3"/>
        </w:numPr>
        <w:spacing w:lineRule="auto"/>
      </w:pPr>
      <w:r>
        <w:rPr/>
        <w:t xml:space="preserve">Contactpersoon (naam, functie, e-mail, telefoon)</w:t>
      </w:r>
    </w:p>
    <w:p>
      <w:pPr>
        <w:numPr>
          <w:ilvl w:val="0"/>
          <w:numId w:val="3"/>
        </w:numPr>
        <w:spacing w:lineRule="auto"/>
      </w:pPr>
      <w:r>
        <w:rPr/>
        <w:t xml:space="preserve">Contractvorm en rol Caternext (hoofdaannemer/onderaannemer)</w:t>
      </w:r>
    </w:p>
    <w:p>
      <w:pPr>
        <w:numPr>
          <w:ilvl w:val="0"/>
          <w:numId w:val="3"/>
        </w:numPr>
        <w:spacing w:lineRule="auto"/>
      </w:pPr>
      <w:r>
        <w:rPr/>
        <w:t xml:space="preserve">Relevante certificeringen (ISO 22000/HACCP) en audit-datum</w:t>
      </w:r>
    </w:p>
    <w:p>
      <w:pPr>
        <w:numPr>
          <w:ilvl w:val="0"/>
          <w:numId w:val="3"/>
        </w:numPr>
        <w:spacing w:lineRule="auto"/>
      </w:pPr>
      <w:r>
        <w:rPr/>
        <w:t xml:space="preserve">Bewijsstukken (bijlagecodes)</w:t>
      </w:r>
    </w:p>
    <w:p>
      <w:pPr>
        <w:numPr>
          <w:ilvl w:val="0"/>
          <w:numId w:val="4"/>
        </w:numPr>
        <w:spacing w:lineRule="auto"/>
      </w:pPr>
      <w:r>
        <w:rPr/>
        <w:t xml:space="preserve">PDCA per referentie (kort)</w:t>
      </w:r>
    </w:p>
    <w:p>
      <w:pPr>
        <w:numPr>
          <w:ilvl w:val="0"/>
          <w:numId w:val="5"/>
        </w:numPr>
        <w:spacing w:lineRule="auto"/>
      </w:pPr>
      <w:r>
        <w:rPr/>
        <w:t xml:space="preserve">Plan: doelstellingen en baseline; SLA/KPI-definities; risicoprofiel.</w:t>
      </w:r>
    </w:p>
    <w:p>
      <w:pPr>
        <w:numPr>
          <w:ilvl w:val="0"/>
          <w:numId w:val="5"/>
        </w:numPr>
        <w:spacing w:lineRule="auto"/>
      </w:pPr>
      <w:r>
        <w:rPr/>
        <w:t xml:space="preserve">Do: inrichting processen, systemen en leveranciersketen.</w:t>
      </w:r>
    </w:p>
    <w:p>
      <w:pPr>
        <w:numPr>
          <w:ilvl w:val="0"/>
          <w:numId w:val="5"/>
        </w:numPr>
        <w:spacing w:lineRule="auto"/>
      </w:pPr>
      <w:r>
        <w:rPr/>
        <w:t xml:space="preserve">Check: meetplan, meetfrequentie, dashboards, audits en klantfeedback.</w:t>
      </w:r>
    </w:p>
    <w:p>
      <w:pPr>
        <w:numPr>
          <w:ilvl w:val="0"/>
          <w:numId w:val="5"/>
        </w:numPr>
        <w:spacing w:lineRule="auto"/>
      </w:pPr>
      <w:r>
        <w:rPr/>
        <w:t xml:space="preserve">Act: bijsturing, CAPA’s, trendanalyses en verbeteracties.</w:t>
      </w:r>
    </w:p>
    <w:p>
      <w:pPr>
        <w:numPr>
          <w:ilvl w:val="0"/>
          <w:numId w:val="6"/>
        </w:numPr>
        <w:spacing w:lineRule="auto"/>
      </w:pPr>
      <w:r>
        <w:rPr/>
        <w:t xml:space="preserve">Kruisverwijzing W-xx → KPI → Risico → Bewijs (per referentie uitgewerkt)</w:t>
      </w:r>
    </w:p>
    <w:p>
      <w:pPr>
        <w:numPr>
          <w:ilvl w:val="0"/>
          <w:numId w:val="7"/>
        </w:numPr>
        <w:spacing w:lineRule="auto"/>
      </w:pPr>
      <w:r>
        <w:rPr/>
        <w:t xml:space="preserve">W-01 Menu-engine seizoensrotatie → KPI-05/06 → R-03 → Bewijs: inkoopfacturen met herkomst/biolabel + menu-rotatiekalender.</w:t>
      </w:r>
    </w:p>
    <w:p>
      <w:pPr>
        <w:numPr>
          <w:ilvl w:val="0"/>
          <w:numId w:val="7"/>
        </w:numPr>
        <w:spacing w:lineRule="auto"/>
      </w:pPr>
      <w:r>
        <w:rPr/>
        <w:t xml:space="preserve">W-02 Allergenenbeheer/1169 → KPI-03 → R-02 → Bewijs: LMS-trainingsregister, etikettering-screenshots, incidentlog = 0.</w:t>
      </w:r>
    </w:p>
    <w:p>
      <w:pPr>
        <w:numPr>
          <w:ilvl w:val="0"/>
          <w:numId w:val="7"/>
        </w:numPr>
        <w:spacing w:lineRule="auto"/>
      </w:pPr>
      <w:r>
        <w:rPr/>
        <w:t xml:space="preserve">W-03 Logistiek multi-locatie → KPI-01/07 → R-01/R-06 → Bewijs: rittelemetrie, afleverscans, uitzonderingsrapporten.</w:t>
      </w:r>
    </w:p>
    <w:p>
      <w:pPr>
        <w:numPr>
          <w:ilvl w:val="0"/>
          <w:numId w:val="7"/>
        </w:numPr>
        <w:spacing w:lineRule="auto"/>
      </w:pPr>
      <w:r>
        <w:rPr/>
        <w:t xml:space="preserve">W-04 Lokaal/biologisch inkoop → KPI-05/06 → R-03 → Bewijs: SKAL-certificaat, leveranciersverklaringen, spend-analyse.</w:t>
      </w:r>
    </w:p>
    <w:p>
      <w:pPr>
        <w:numPr>
          <w:ilvl w:val="0"/>
          <w:numId w:val="7"/>
        </w:numPr>
        <w:spacing w:lineRule="auto"/>
      </w:pPr>
      <w:r>
        <w:rPr/>
        <w:t xml:space="preserve">W-05 Foodwaste/zero-waste → KPI-04 → R-04 → Bewijs: weegregistraties, productiebatches, retourstromen, foto-audits.</w:t>
      </w:r>
    </w:p>
    <w:p>
      <w:pPr>
        <w:numPr>
          <w:ilvl w:val="0"/>
          <w:numId w:val="7"/>
        </w:numPr>
        <w:spacing w:lineRule="auto"/>
      </w:pPr>
      <w:r>
        <w:rPr/>
        <w:t xml:space="preserve">W-06 Digitaal bestelsysteem → KPI-01/03 → R-05 → Bewijs: uptime-rapporten, changelogs, pen-test samenvatting.</w:t>
      </w:r>
    </w:p>
    <w:p>
      <w:pPr>
        <w:numPr>
          <w:ilvl w:val="0"/>
          <w:numId w:val="7"/>
        </w:numPr>
        <w:spacing w:lineRule="auto"/>
      </w:pPr>
      <w:r>
        <w:rPr/>
        <w:t xml:space="preserve">W-07 Klanttevredenheid/service → KPI-02/NPS → R-07 → Bewijs: survey-exports, verbeterrapporten, mystery guest.</w:t>
      </w:r>
    </w:p>
    <w:p>
      <w:pPr>
        <w:spacing w:lineRule="auto"/>
      </w:pPr>
      <w:r>
        <w:rPr/>
        <w:t xml:space="preserve">Meetdefinities en SMART-criteria (per KPI, uniform toegepast)</w:t>
      </w:r>
    </w:p>
    <w:p>
      <w:pPr>
        <w:numPr>
          <w:ilvl w:val="0"/>
          <w:numId w:val="8"/>
        </w:numPr>
        <w:spacing w:lineRule="auto"/>
      </w:pPr>
      <w:r>
        <w:rPr/>
        <w:t xml:space="preserve">KPI-01 Op tijd geleverd ≥ 98%: numerator = afleveringen binnen afgesproken venster (11:00–13:30) per locatie, denominator = totale afleveringen; bron: rittelemetrie + afleverscans; frequentie: dagelijks/maandelijks; rapport: P50/P95 + root cause.</w:t>
      </w:r>
    </w:p>
    <w:p>
      <w:pPr>
        <w:numPr>
          <w:ilvl w:val="0"/>
          <w:numId w:val="8"/>
        </w:numPr>
        <w:spacing w:lineRule="auto"/>
      </w:pPr>
      <w:r>
        <w:rPr/>
        <w:t xml:space="preserve">KPI-02 Klanttevredenheid ≥ 8,2: gewogen gemiddelde over locaties; minimaal 20% respons per 6 maanden; bron: digitale survey; controle: outlier-filter en segmentatie (dieetprofiel, locatie).</w:t>
      </w:r>
    </w:p>
    <w:p>
      <w:pPr>
        <w:numPr>
          <w:ilvl w:val="0"/>
          <w:numId w:val="8"/>
        </w:numPr>
        <w:spacing w:lineRule="auto"/>
      </w:pPr>
      <w:r>
        <w:rPr/>
        <w:t xml:space="preserve">KPI-03 Allergenen-fouten = 0: incident = verkeerde labeling of uitgifte; bron: incidentlog/GMP-audits; zero tolerance; CAPA binnen 48 uur indien &gt;0.</w:t>
      </w:r>
    </w:p>
    <w:p>
      <w:pPr>
        <w:numPr>
          <w:ilvl w:val="0"/>
          <w:numId w:val="8"/>
        </w:numPr>
        <w:spacing w:lineRule="auto"/>
      </w:pPr>
      <w:r>
        <w:rPr/>
        <w:t xml:space="preserve">KPI-04 Foodwaste ≤ 3,0%: afval% = (netto eetbaar verspild gewicht / bruto geproduceerde eetbare kilo’s) x 100; bron: weegschalen met tijdstempel; scope: keuken + front-of-house; rapportage: week/maand; P95 ≤ 3,5%.</w:t>
      </w:r>
    </w:p>
    <w:p>
      <w:pPr>
        <w:numPr>
          <w:ilvl w:val="0"/>
          <w:numId w:val="8"/>
        </w:numPr>
        <w:spacing w:lineRule="auto"/>
      </w:pPr>
      <w:r>
        <w:rPr/>
        <w:t xml:space="preserve">KPI-05 Lokaal/regionaal ≥ 30% spend: definitie “lokaal/regionaal” = &lt;150 km of provincie + aangrenzende provincies; bron: spend-analyse + leveranciersherkomst; steekproefcontrole facturen.</w:t>
      </w:r>
    </w:p>
    <w:p>
      <w:pPr>
        <w:numPr>
          <w:ilvl w:val="0"/>
          <w:numId w:val="8"/>
        </w:numPr>
        <w:spacing w:lineRule="auto"/>
      </w:pPr>
      <w:r>
        <w:rPr/>
        <w:t xml:space="preserve">KPI-06 Biologisch ≥ 25% spend: bron: SKAL-certificering + leveranciersfacturen met bio-lijn; kwartaalcontrole.</w:t>
      </w:r>
    </w:p>
    <w:p>
      <w:pPr>
        <w:numPr>
          <w:ilvl w:val="0"/>
          <w:numId w:val="8"/>
        </w:numPr>
        <w:spacing w:lineRule="auto"/>
      </w:pPr>
      <w:r>
        <w:rPr/>
        <w:t xml:space="preserve">KPI-07 Leverbetrouwbaarheid (complete orders) ≥ 99,5%: complete levering zonder backorders/substitutie; bron: WMS/scan.</w:t>
      </w:r>
    </w:p>
    <w:p>
      <w:pPr>
        <w:spacing w:lineRule="auto"/>
      </w:pPr>
      <w:r>
        <w:rPr/>
        <w:t xml:space="preserve">Verificatie- en auditprotocol (Check)</w:t>
      </w:r>
    </w:p>
    <w:p>
      <w:pPr>
        <w:numPr>
          <w:ilvl w:val="0"/>
          <w:numId w:val="9"/>
        </w:numPr>
        <w:spacing w:lineRule="auto"/>
      </w:pPr>
      <w:r>
        <w:rPr/>
        <w:t xml:space="preserve">Documentcontrole: ISO 22000/HACCP geldig en gedekt voor relevante locaties; laatste auditrapport ≤ 12 maanden.</w:t>
      </w:r>
    </w:p>
    <w:p>
      <w:pPr>
        <w:numPr>
          <w:ilvl w:val="0"/>
          <w:numId w:val="9"/>
        </w:numPr>
        <w:spacing w:lineRule="auto"/>
      </w:pPr>
      <w:r>
        <w:rPr/>
        <w:t xml:space="preserve">Datakwaliteit: steekproef 10% van ritten, 5% van inkoopregels, 100% van allergenenincidenten; data lineage beschikbaar.</w:t>
      </w:r>
    </w:p>
    <w:p>
      <w:pPr>
        <w:numPr>
          <w:ilvl w:val="0"/>
          <w:numId w:val="9"/>
        </w:numPr>
        <w:spacing w:lineRule="auto"/>
      </w:pPr>
      <w:r>
        <w:rPr/>
        <w:t xml:space="preserve">Onafhankelijke bevestiging: schriftelijke bevestiging KPI-resultaten door opdrachtgevercontact (e-mail/letterhead).</w:t>
      </w:r>
    </w:p>
    <w:p>
      <w:pPr>
        <w:numPr>
          <w:ilvl w:val="0"/>
          <w:numId w:val="9"/>
        </w:numPr>
        <w:spacing w:lineRule="auto"/>
      </w:pPr>
      <w:r>
        <w:rPr/>
        <w:t xml:space="preserve">Privacy/AVG: toestemming contactpersoon en dataminimalisatie geborgd.</w:t>
      </w:r>
    </w:p>
    <w:p>
      <w:pPr>
        <w:spacing w:lineRule="auto"/>
      </w:pPr>
      <w:r>
        <w:rPr/>
        <w:t xml:space="preserve">Verbetercyclus (Act)</w:t>
      </w:r>
    </w:p>
    <w:p>
      <w:pPr>
        <w:numPr>
          <w:ilvl w:val="0"/>
          <w:numId w:val="10"/>
        </w:numPr>
        <w:spacing w:lineRule="auto"/>
      </w:pPr>
      <w:r>
        <w:rPr/>
        <w:t xml:space="preserve">Maandelijkse PDCA-review met lessons learned en 3 verbeteracties met eigenaar, deadline en verwacht effect (bijv. -0,5 pp waste).</w:t>
      </w:r>
    </w:p>
    <w:p>
      <w:pPr>
        <w:numPr>
          <w:ilvl w:val="0"/>
          <w:numId w:val="10"/>
        </w:numPr>
        <w:spacing w:lineRule="auto"/>
      </w:pPr>
      <w:r>
        <w:rPr/>
        <w:t xml:space="preserve">Trimestriële leveranciersreview: herkomst/biopercentages en levertijden; herselectie bij onderprestatie.</w:t>
      </w:r>
    </w:p>
    <w:p>
      <w:pPr>
        <w:numPr>
          <w:ilvl w:val="0"/>
          <w:numId w:val="10"/>
        </w:numPr>
        <w:spacing w:lineRule="auto"/>
      </w:pPr>
      <w:r>
        <w:rPr/>
        <w:t xml:space="preserve">Kwartaalse penetratietest-scan op het bestelsysteem en failover-test; storingsratio-doel: ≤ 0,1 incident/1.000 orders.</w:t>
      </w:r>
    </w:p>
    <w:p>
      <w:pPr>
        <w:spacing w:lineRule="auto"/>
      </w:pPr>
      <w:r>
        <w:rPr/>
        <w:t xml:space="preserve">Voorbeeld van de mini-tabelstructuur (toegepast per referentie zodra data is aangeleverd)</w:t>
      </w:r>
    </w:p>
    <w:p>
      <w:pPr>
        <w:numPr>
          <w:ilvl w:val="0"/>
          <w:numId w:val="11"/>
        </w:numPr>
        <w:spacing w:lineRule="auto"/>
      </w:pPr>
      <w:r>
        <w:rPr/>
        <w:t xml:space="preserve">Opdrachtgever | Periode | Locaties | Couverts/dag | Rol | W-xx scope | KPI’s (01–07) resultaat | Contactpersoon | Certificaten | Bewijs</w:t>
      </w:r>
    </w:p>
    <w:p>
      <w:pPr>
        <w:numPr>
          <w:ilvl w:val="0"/>
          <w:numId w:val="11"/>
        </w:numPr>
        <w:spacing w:lineRule="auto"/>
      </w:pPr>
      <w:r>
        <w:rPr/>
        <w:t xml:space="preserve">Opmerking: de resultaten worden per KPI in absolute waarde + % en P95 vermeld, inclusief meetperiode en bronnen.</w:t>
      </w:r>
    </w:p>
    <w:p>
      <w:pPr>
        <w:spacing w:lineRule="auto"/>
      </w:pPr>
      <w:r>
        <w:rPr/>
        <w:t xml:space="preserve">Koppeltafel W-xx ↔ KPI ↔ Risico ↔ Bewijs (generiek kader, per referentie ingevuld)</w:t>
      </w:r>
    </w:p>
    <w:p>
      <w:pPr>
        <w:numPr>
          <w:ilvl w:val="0"/>
          <w:numId w:val="12"/>
        </w:numPr>
        <w:spacing w:lineRule="auto"/>
      </w:pPr>
      <w:r>
        <w:rPr/>
        <w:t xml:space="preserve">W-01 → KPI-05/06 → R-03 (tekort lokale/bio-aanvoer) → Inkoopfacturen, SKAL, leveranciers-SLA’s</w:t>
      </w:r>
    </w:p>
    <w:p>
      <w:pPr>
        <w:numPr>
          <w:ilvl w:val="0"/>
          <w:numId w:val="12"/>
        </w:numPr>
        <w:spacing w:lineRule="auto"/>
      </w:pPr>
      <w:r>
        <w:rPr/>
        <w:t xml:space="preserve">W-02 → KPI-03 → R-02 (allergenenincident) → Trainingsregister, etiketten, incidentlog</w:t>
      </w:r>
    </w:p>
    <w:p>
      <w:pPr>
        <w:numPr>
          <w:ilvl w:val="0"/>
          <w:numId w:val="12"/>
        </w:numPr>
        <w:spacing w:lineRule="auto"/>
      </w:pPr>
      <w:r>
        <w:rPr/>
        <w:t xml:space="preserve">W-03 → KPI-01/07 → R-01/R-06 (verkeer/capaciteit) → Telemetrie, scanlogs, capaciteitsplanning</w:t>
      </w:r>
    </w:p>
    <w:p>
      <w:pPr>
        <w:numPr>
          <w:ilvl w:val="0"/>
          <w:numId w:val="12"/>
        </w:numPr>
        <w:spacing w:lineRule="auto"/>
      </w:pPr>
      <w:r>
        <w:rPr/>
        <w:t xml:space="preserve">W-04 → KPI-05/06 → R-03 → Spend-rapport, herkomstverklaringen</w:t>
      </w:r>
    </w:p>
    <w:p>
      <w:pPr>
        <w:numPr>
          <w:ilvl w:val="0"/>
          <w:numId w:val="12"/>
        </w:numPr>
        <w:spacing w:lineRule="auto"/>
      </w:pPr>
      <w:r>
        <w:rPr/>
        <w:t xml:space="preserve">W-05 → KPI-04 → R-04 (overproductie) → Weegdata, productieplanning, dash</w:t>
      </w:r>
    </w:p>
    <w:p>
      <w:pPr>
        <w:numPr>
          <w:ilvl w:val="0"/>
          <w:numId w:val="12"/>
        </w:numPr>
        <w:spacing w:lineRule="auto"/>
      </w:pPr>
      <w:r>
        <w:rPr/>
        <w:t xml:space="preserve">W-06 → KPI-01/03 → R-05 (ICT-storing) → Uptime-rapporten, DR-test</w:t>
      </w:r>
    </w:p>
    <w:p>
      <w:pPr>
        <w:numPr>
          <w:ilvl w:val="0"/>
          <w:numId w:val="12"/>
        </w:numPr>
        <w:spacing w:lineRule="auto"/>
      </w:pPr>
      <w:r>
        <w:rPr/>
        <w:t xml:space="preserve">W-07 → KPI-02 → R-07 (personeelsuitval/kwaliteit) → Surveys, klachtenanalyse, trainingslog</w:t>
      </w:r>
    </w:p>
    <w:p>
      <w:pPr>
        <w:spacing w:lineRule="auto"/>
      </w:pPr>
      <w:r>
        <w:rPr/>
        <w:t xml:space="preserve">Doorlooptijd na aanlevering</w:t>
      </w:r>
    </w:p>
    <w:p>
      <w:pPr>
        <w:numPr>
          <w:ilvl w:val="0"/>
          <w:numId w:val="13"/>
        </w:numPr>
        <w:spacing w:lineRule="auto"/>
      </w:pPr>
      <w:r>
        <w:rPr/>
        <w:t xml:space="preserve">Binnen 1 werkdag: opstellen volledige 3–5 referenties in uniforme opmaak met mini-tabellen, PDCA-samenvatting en kruisverwijzingen.</w:t>
      </w:r>
    </w:p>
    <w:p>
      <w:pPr>
        <w:numPr>
          <w:ilvl w:val="0"/>
          <w:numId w:val="13"/>
        </w:numPr>
        <w:spacing w:lineRule="auto"/>
      </w:pPr>
      <w:r>
        <w:rPr/>
        <w:t xml:space="preserve">Binnen 3 werkdagen: verificatie bij contactpersonen en toevoeging bevestigingsmails als bewijs.</w:t>
      </w:r>
    </w:p>
    <w:p>
      <w:pPr>
        <w:numPr>
          <w:ilvl w:val="0"/>
          <w:numId w:val="13"/>
        </w:numPr>
        <w:spacing w:lineRule="auto"/>
      </w:pPr>
      <w:r>
        <w:rPr/>
        <w:t xml:space="preserve">Binnen 5 werkdagen: finale versie mét ondertekende toestemming contactpersonen (AVG).</w:t>
      </w:r>
    </w:p>
    <w:p>
      <w:pPr>
        <w:spacing w:lineRule="auto"/>
      </w:pPr>
      <w:r>
        <w:rPr/>
        <w:t xml:space="preserve">Wat kwalificeert als “vergelijkbaar” (selectiecriteria)</w:t>
      </w:r>
    </w:p>
    <w:p>
      <w:pPr>
        <w:numPr>
          <w:ilvl w:val="0"/>
          <w:numId w:val="14"/>
        </w:numPr>
        <w:spacing w:lineRule="auto"/>
      </w:pPr>
      <w:r>
        <w:rPr/>
        <w:t xml:space="preserve">Minimaal 400–500 couverts/dag gemiddeld; meerdere locaties met venster 11:00–13:30.</w:t>
      </w:r>
    </w:p>
    <w:p>
      <w:pPr>
        <w:numPr>
          <w:ilvl w:val="0"/>
          <w:numId w:val="14"/>
        </w:numPr>
        <w:spacing w:lineRule="auto"/>
      </w:pPr>
      <w:r>
        <w:rPr/>
        <w:t xml:space="preserve">Allergenenregistratie conform EU 1169/2011 met dieetprofielen in digitaal systeem.</w:t>
      </w:r>
    </w:p>
    <w:p>
      <w:pPr>
        <w:numPr>
          <w:ilvl w:val="0"/>
          <w:numId w:val="14"/>
        </w:numPr>
        <w:spacing w:lineRule="auto"/>
      </w:pPr>
      <w:r>
        <w:rPr/>
        <w:t xml:space="preserve">Foodwaste ≤ 3,5% (P95) met weegregistratie, en inzet herbruikbare verpakkingen.</w:t>
      </w:r>
    </w:p>
    <w:p>
      <w:pPr>
        <w:numPr>
          <w:ilvl w:val="0"/>
          <w:numId w:val="14"/>
        </w:numPr>
        <w:spacing w:lineRule="auto"/>
      </w:pPr>
      <w:r>
        <w:rPr/>
        <w:t xml:space="preserve">Minimaal 25% biologisch en 30% lokaal/regionaal aantoonbaar in spend.</w:t>
      </w:r>
    </w:p>
    <w:p>
      <w:pPr>
        <w:numPr>
          <w:ilvl w:val="0"/>
          <w:numId w:val="14"/>
        </w:numPr>
        <w:spacing w:lineRule="auto"/>
      </w:pPr>
      <w:r>
        <w:rPr/>
        <w:t xml:space="preserve">SLA’s en klanttevredenheid ≥ 8,0 over ≥ 6 maanden.</w:t>
      </w:r>
    </w:p>
    <w:p>
      <w:pPr>
        <w:spacing w:lineRule="auto"/>
      </w:pPr>
      <w:r>
        <w:rPr/>
        <w:t xml:space="preserve">Belofte van transparantie</w:t>
      </w:r>
    </w:p>
    <w:p>
      <w:pPr>
        <w:numPr>
          <w:ilvl w:val="0"/>
          <w:numId w:val="15"/>
        </w:numPr>
        <w:spacing w:lineRule="auto"/>
      </w:pPr>
      <w:r>
        <w:rPr/>
        <w:t xml:space="preserve">Geen claims zonder bewijs en geen contactpersonen zonder voorafgaande toestemming.</w:t>
      </w:r>
    </w:p>
    <w:p>
      <w:pPr>
        <w:numPr>
          <w:ilvl w:val="0"/>
          <w:numId w:val="15"/>
        </w:numPr>
        <w:spacing w:lineRule="auto"/>
      </w:pPr>
      <w:r>
        <w:rPr/>
        <w:t xml:space="preserve">Indien bepaalde cijfers vertrouwelijk zijn, leveren we geanonimiseerde audits + bevestigingsbrief van opdrachtgever.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6"/>
        </w:numPr>
        <w:spacing w:lineRule="auto"/>
      </w:pPr>
      <w:r>
        <w:rPr/>
        <w:t xml:space="preserve">Voor 3–5 referenties, per referentie:</w:t>
      </w:r>
    </w:p>
    <w:p>
      <w:pPr>
        <w:numPr>
          <w:ilvl w:val="1"/>
          <w:numId w:val="17"/>
        </w:numPr>
        <w:spacing w:lineRule="auto"/>
      </w:pPr>
      <w:r>
        <w:rPr/>
        <w:t xml:space="preserve">Opdrachtgever (naam organisatie) en projecttitel.</w:t>
      </w:r>
    </w:p>
    <w:p>
      <w:pPr>
        <w:numPr>
          <w:ilvl w:val="1"/>
          <w:numId w:val="17"/>
        </w:numPr>
        <w:spacing w:lineRule="auto"/>
      </w:pPr>
      <w:r>
        <w:rPr/>
        <w:t xml:space="preserve">Periode (MM/JJJJ–MM/JJJJ) en contractvorm (raamovereenkomst/overeenkomst van opdracht).</w:t>
      </w:r>
    </w:p>
    <w:p>
      <w:pPr>
        <w:numPr>
          <w:ilvl w:val="1"/>
          <w:numId w:val="17"/>
        </w:numPr>
        <w:spacing w:lineRule="auto"/>
      </w:pPr>
      <w:r>
        <w:rPr/>
        <w:t xml:space="preserve">Scope: aantal locaties, gemiddelde en piek-couverts/dag, dieetprofielen (vega/vegan/glutenvrij).</w:t>
      </w:r>
    </w:p>
    <w:p>
      <w:pPr>
        <w:numPr>
          <w:ilvl w:val="1"/>
          <w:numId w:val="17"/>
        </w:numPr>
        <w:spacing w:lineRule="auto"/>
      </w:pPr>
      <w:r>
        <w:rPr/>
        <w:t xml:space="preserve">Rol Caternext (hoofdaannemer/onderaannemer) en betrokken partners (bijv. Fresh&amp;Local Coöp).</w:t>
      </w:r>
    </w:p>
    <w:p>
      <w:pPr>
        <w:numPr>
          <w:ilvl w:val="1"/>
          <w:numId w:val="17"/>
        </w:numPr>
        <w:spacing w:lineRule="auto"/>
      </w:pPr>
      <w:r>
        <w:rPr/>
        <w:t xml:space="preserve">KPI-resultaten per maand/kwartaal voor: KPI-01 t/m KPI-07 (zoals gedefinieerd), inclusief meetbron en meetperiode.</w:t>
      </w:r>
    </w:p>
    <w:p>
      <w:pPr>
        <w:numPr>
          <w:ilvl w:val="1"/>
          <w:numId w:val="17"/>
        </w:numPr>
        <w:spacing w:lineRule="auto"/>
      </w:pPr>
      <w:r>
        <w:rPr/>
        <w:t xml:space="preserve">Foodwaste meetmethode en geaggregeerde resultaten (gemiddelde en P95).</w:t>
      </w:r>
    </w:p>
    <w:p>
      <w:pPr>
        <w:numPr>
          <w:ilvl w:val="1"/>
          <w:numId w:val="17"/>
        </w:numPr>
        <w:spacing w:lineRule="auto"/>
      </w:pPr>
      <w:r>
        <w:rPr/>
        <w:t xml:space="preserve">Lokaal/regionaal en biologisch spend-percentages + bewijs (facturen, SKAL, herkomstverklaringen).</w:t>
      </w:r>
    </w:p>
    <w:p>
      <w:pPr>
        <w:numPr>
          <w:ilvl w:val="1"/>
          <w:numId w:val="17"/>
        </w:numPr>
        <w:spacing w:lineRule="auto"/>
      </w:pPr>
      <w:r>
        <w:rPr/>
        <w:t xml:space="preserve">Allergenenbeheer: bevestiging 0 incidenten of incidentlog met CAPA’s.</w:t>
      </w:r>
    </w:p>
    <w:p>
      <w:pPr>
        <w:numPr>
          <w:ilvl w:val="1"/>
          <w:numId w:val="17"/>
        </w:numPr>
        <w:spacing w:lineRule="auto"/>
      </w:pPr>
      <w:r>
        <w:rPr/>
        <w:t xml:space="preserve">Klanttevredenheidscijfers (gemiddelde, responsratio, NPS indien beschikbaar).</w:t>
      </w:r>
    </w:p>
    <w:p>
      <w:pPr>
        <w:numPr>
          <w:ilvl w:val="1"/>
          <w:numId w:val="17"/>
        </w:numPr>
        <w:spacing w:lineRule="auto"/>
      </w:pPr>
      <w:r>
        <w:rPr/>
        <w:t xml:space="preserve">Certificeringen: ISO 22000/HACCP (certificaatnummer, scope, geldigheid) en laatste auditrapport.</w:t>
      </w:r>
    </w:p>
    <w:p>
      <w:pPr>
        <w:numPr>
          <w:ilvl w:val="1"/>
          <w:numId w:val="17"/>
        </w:numPr>
        <w:spacing w:lineRule="auto"/>
      </w:pPr>
      <w:r>
        <w:rPr/>
        <w:t xml:space="preserve">Contactpersoon bij opdrachtgever: naam, functie, e-mail, telefoon + expliciete toestemming voor referentiecontact.</w:t>
      </w:r>
    </w:p>
    <w:p>
      <w:pPr>
        <w:numPr>
          <w:ilvl w:val="1"/>
          <w:numId w:val="17"/>
        </w:numPr>
        <w:spacing w:lineRule="auto"/>
      </w:pPr>
      <w:r>
        <w:rPr/>
        <w:t xml:space="preserve">Bewijsstukken: rittelemetrie-export, afleverscans, weegdata, survey-exports, spend-rapporten (PDF/CSV) met toestemmingsniveau.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