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README — Lees Mij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README — Raamovereenkomst Duurzame Catering en Bedrijfslunch 2026–2030 (GEM-AMS-CATER-2026-014)</w:t>
      </w:r>
    </w:p>
    <w:p>
      <w:pPr>
        <w:spacing w:lineRule="auto"/>
      </w:pPr>
      <w:r>
        <w:rPr/>
        <w:t xml:space="preserve">Doel van deze README</w:t>
      </w:r>
    </w:p>
    <w:p>
      <w:pPr>
        <w:numPr>
          <w:ilvl w:val="0"/>
          <w:numId w:val="1"/>
        </w:numPr>
        <w:spacing w:lineRule="auto"/>
      </w:pPr>
      <w:r>
        <w:rPr/>
        <w:t xml:space="preserve">Snel inzicht geven in doel, inhoud en samenhang van het tenderpakket van Caternext B.V.</w:t>
      </w:r>
    </w:p>
    <w:p>
      <w:pPr>
        <w:numPr>
          <w:ilvl w:val="0"/>
          <w:numId w:val="1"/>
        </w:numPr>
        <w:spacing w:lineRule="auto"/>
      </w:pPr>
      <w:r>
        <w:rPr/>
        <w:t xml:space="preserve">Leeshulp: waar staat wat, hoe hangen werkpakketten (W-xx), KPI’s, risico’s en bewijslast samen.</w:t>
      </w:r>
    </w:p>
    <w:p>
      <w:pPr>
        <w:numPr>
          <w:ilvl w:val="0"/>
          <w:numId w:val="1"/>
        </w:numPr>
        <w:spacing w:lineRule="auto"/>
      </w:pPr>
      <w:r>
        <w:rPr/>
        <w:t xml:space="preserve">Borging van PDCA en SMART-afspraken conform de eisen van Gemeente Amsterdam.</w:t>
      </w:r>
    </w:p>
    <w:p>
      <w:pPr>
        <w:spacing w:lineRule="auto"/>
      </w:pPr>
      <w:r>
        <w:rPr/>
        <w:t xml:space="preserve">Kernscope (conform uitvraag)</w:t>
      </w:r>
    </w:p>
    <w:p>
      <w:pPr>
        <w:numPr>
          <w:ilvl w:val="0"/>
          <w:numId w:val="2"/>
        </w:numPr>
        <w:spacing w:lineRule="auto"/>
      </w:pPr>
      <w:r>
        <w:rPr/>
        <w:t xml:space="preserve">Minimaal 500 couverts/dag, levering op meerdere locaties binnen 11:00–13:30.</w:t>
      </w:r>
    </w:p>
    <w:p>
      <w:pPr>
        <w:numPr>
          <w:ilvl w:val="0"/>
          <w:numId w:val="2"/>
        </w:numPr>
        <w:spacing w:lineRule="auto"/>
      </w:pPr>
      <w:r>
        <w:rPr/>
        <w:t xml:space="preserve">Dieetprofielen en allergenenregistratie conform EU 1169/2011.</w:t>
      </w:r>
    </w:p>
    <w:p>
      <w:pPr>
        <w:numPr>
          <w:ilvl w:val="0"/>
          <w:numId w:val="2"/>
        </w:numPr>
        <w:spacing w:lineRule="auto"/>
      </w:pPr>
      <w:r>
        <w:rPr/>
        <w:t xml:space="preserve">Minimaal 25% biologisch en 30% lokaal/regionaal.</w:t>
      </w:r>
    </w:p>
    <w:p>
      <w:pPr>
        <w:numPr>
          <w:ilvl w:val="0"/>
          <w:numId w:val="2"/>
        </w:numPr>
        <w:spacing w:lineRule="auto"/>
      </w:pPr>
      <w:r>
        <w:rPr/>
        <w:t xml:space="preserve">Zero-waste verpakkingen; foodwaste &lt; 3%.</w:t>
      </w:r>
    </w:p>
    <w:p>
      <w:pPr>
        <w:numPr>
          <w:ilvl w:val="0"/>
          <w:numId w:val="2"/>
        </w:numPr>
        <w:spacing w:lineRule="auto"/>
      </w:pPr>
      <w:r>
        <w:rPr/>
        <w:t xml:space="preserve">SLA’s: op tijd geleverd ≥ 98%, klanttevredenheid ≥ 8,2, allergenen-fouten = 0.</w:t>
      </w:r>
    </w:p>
    <w:p>
      <w:pPr>
        <w:spacing w:lineRule="auto"/>
      </w:pPr>
      <w:r>
        <w:rPr/>
        <w:t xml:space="preserve">Meegeleverde documenten</w:t>
      </w:r>
    </w:p>
    <w:p>
      <w:pPr>
        <w:numPr>
          <w:ilvl w:val="0"/>
          <w:numId w:val="3"/>
        </w:numPr>
        <w:spacing w:lineRule="auto"/>
      </w:pPr>
      <w:r>
        <w:rPr/>
        <w:t xml:space="preserve">Plan van Aanpak (PvA): aanpak per werkpakket (W-01 t/m W-06), planning, organisatie, Gantt-overzicht en processturing (PDCA).</w:t>
      </w:r>
    </w:p>
    <w:p>
      <w:pPr>
        <w:numPr>
          <w:ilvl w:val="0"/>
          <w:numId w:val="3"/>
        </w:numPr>
        <w:spacing w:lineRule="auto"/>
      </w:pPr>
      <w:r>
        <w:rPr/>
        <w:t xml:space="preserve">Risicodossier: risicoregister met oorzaken, impact, kans, mitigerende maatregelen, restkans en triggers; gekoppeld aan W-xx en KPI’s.</w:t>
      </w:r>
    </w:p>
    <w:p>
      <w:pPr>
        <w:numPr>
          <w:ilvl w:val="0"/>
          <w:numId w:val="3"/>
        </w:numPr>
        <w:spacing w:lineRule="auto"/>
      </w:pPr>
      <w:r>
        <w:rPr/>
        <w:t xml:space="preserve">KPI-overzicht: definitie, norm, meetmethode, frequentie, data-eigenaar, rapportageformat; inclusief SLA-toetsing en verbeterroutines.</w:t>
      </w:r>
    </w:p>
    <w:p>
      <w:pPr>
        <w:numPr>
          <w:ilvl w:val="0"/>
          <w:numId w:val="3"/>
        </w:numPr>
        <w:spacing w:lineRule="auto"/>
      </w:pPr>
      <w:r>
        <w:rPr/>
        <w:t xml:space="preserve">Bewijsbundel: certificaten ISO 22000 en HACCP (geldig), PSL niveau 3, procedure-extracten allergenenbeheer, voorbeelden foodwaste-rapportages en routeperformance-screens.</w:t>
      </w:r>
    </w:p>
    <w:p>
      <w:pPr>
        <w:spacing w:lineRule="auto"/>
      </w:pPr>
      <w:r>
        <w:rPr/>
        <w:t xml:space="preserve">Structuur en kruisverbanden (W-xx ↔ KPI ↔ Risico ↔ Bewijs)</w:t>
      </w:r>
    </w:p>
    <w:p>
      <w:pPr>
        <w:numPr>
          <w:ilvl w:val="0"/>
          <w:numId w:val="4"/>
        </w:numPr>
        <w:spacing w:lineRule="auto"/>
      </w:pPr>
      <w:r>
        <w:rPr/>
        <w:t xml:space="preserve">W-01 Menu &amp; Allergenenbeheer</w:t>
      </w:r>
    </w:p>
    <w:p>
      <w:pPr>
        <w:numPr>
          <w:ilvl w:val="1"/>
          <w:numId w:val="5"/>
        </w:numPr>
        <w:spacing w:lineRule="auto"/>
      </w:pPr>
      <w:r>
        <w:rPr/>
        <w:t xml:space="preserve">KPI: Allergenen-fouten = 0; 100% allergenenregistratie zichtbaar in digitaal systeem.</w:t>
      </w:r>
    </w:p>
    <w:p>
      <w:pPr>
        <w:numPr>
          <w:ilvl w:val="1"/>
          <w:numId w:val="5"/>
        </w:numPr>
        <w:spacing w:lineRule="auto"/>
      </w:pPr>
      <w:r>
        <w:rPr/>
        <w:t xml:space="preserve">Risico: R-01 mismatch dieetprofiel-bereiding. Maatregelen: dubbele check op order- en uitgiftemoment, koppelvlakvalidatie.</w:t>
      </w:r>
    </w:p>
    <w:p>
      <w:pPr>
        <w:numPr>
          <w:ilvl w:val="1"/>
          <w:numId w:val="5"/>
        </w:numPr>
        <w:spacing w:lineRule="auto"/>
      </w:pPr>
      <w:r>
        <w:rPr/>
        <w:t xml:space="preserve">Bewijs: ISO 22000/HACCP procedures AL-01/AL-02, EU 1169/2011 labeling-exports, auditlog QA.</w:t>
      </w:r>
    </w:p>
    <w:p>
      <w:pPr>
        <w:numPr>
          <w:ilvl w:val="0"/>
          <w:numId w:val="4"/>
        </w:numPr>
        <w:spacing w:lineRule="auto"/>
      </w:pPr>
      <w:r>
        <w:rPr/>
        <w:t xml:space="preserve">W-02 Inkoop Lokaal/Biologisch</w:t>
      </w:r>
    </w:p>
    <w:p>
      <w:pPr>
        <w:numPr>
          <w:ilvl w:val="1"/>
          <w:numId w:val="6"/>
        </w:numPr>
        <w:spacing w:lineRule="auto"/>
      </w:pPr>
      <w:r>
        <w:rPr/>
        <w:t xml:space="preserve">KPI: ≥ 25% biologisch; ≥ 30% lokaal/regionaal per maand (omzetbasis).</w:t>
      </w:r>
    </w:p>
    <w:p>
      <w:pPr>
        <w:numPr>
          <w:ilvl w:val="1"/>
          <w:numId w:val="6"/>
        </w:numPr>
        <w:spacing w:lineRule="auto"/>
      </w:pPr>
      <w:r>
        <w:rPr/>
        <w:t xml:space="preserve">Risico: R-02 seizoensschaarste. Maatregelen: dual sourcing, seizoensmenu’s met substitutielijsten.</w:t>
      </w:r>
    </w:p>
    <w:p>
      <w:pPr>
        <w:numPr>
          <w:ilvl w:val="1"/>
          <w:numId w:val="6"/>
        </w:numPr>
        <w:spacing w:lineRule="auto"/>
      </w:pPr>
      <w:r>
        <w:rPr/>
        <w:t xml:space="preserve">Bewijs: leverancierscontracten (incl. Fresh&amp;Local Coöp), maandelijkse inkooprapporten en certificaatvalidaties.</w:t>
      </w:r>
    </w:p>
    <w:p>
      <w:pPr>
        <w:numPr>
          <w:ilvl w:val="0"/>
          <w:numId w:val="4"/>
        </w:numPr>
        <w:spacing w:lineRule="auto"/>
      </w:pPr>
      <w:r>
        <w:rPr/>
        <w:t xml:space="preserve">W-03 Productie &amp; Levering (capaciteit en tijdvensters)</w:t>
      </w:r>
    </w:p>
    <w:p>
      <w:pPr>
        <w:numPr>
          <w:ilvl w:val="1"/>
          <w:numId w:val="7"/>
        </w:numPr>
        <w:spacing w:lineRule="auto"/>
      </w:pPr>
      <w:r>
        <w:rPr/>
        <w:t xml:space="preserve">KPI: Op tijd geleverd ≥ 98% (gepland vs. geleverd per locatie/kwartier).</w:t>
      </w:r>
    </w:p>
    <w:p>
      <w:pPr>
        <w:numPr>
          <w:ilvl w:val="1"/>
          <w:numId w:val="7"/>
        </w:numPr>
        <w:spacing w:lineRule="auto"/>
      </w:pPr>
      <w:r>
        <w:rPr/>
        <w:t xml:space="preserve">Risico: R-03 logistieke verstoring (verkeer/storing). Maatregelen: bufferproductie, dynamische routering, fallback-koeriers.</w:t>
      </w:r>
    </w:p>
    <w:p>
      <w:pPr>
        <w:numPr>
          <w:ilvl w:val="1"/>
          <w:numId w:val="7"/>
        </w:numPr>
        <w:spacing w:lineRule="auto"/>
      </w:pPr>
      <w:r>
        <w:rPr/>
        <w:t xml:space="preserve">Bewijs: routeplanninglogs, OTIF-dashboards, capaciteitsplanning ≥ 500 couverts/dag.</w:t>
      </w:r>
    </w:p>
    <w:p>
      <w:pPr>
        <w:numPr>
          <w:ilvl w:val="0"/>
          <w:numId w:val="4"/>
        </w:numPr>
        <w:spacing w:lineRule="auto"/>
      </w:pPr>
      <w:r>
        <w:rPr/>
        <w:t xml:space="preserve">W-04 Zero-waste &amp; Foodwaste</w:t>
      </w:r>
    </w:p>
    <w:p>
      <w:pPr>
        <w:numPr>
          <w:ilvl w:val="1"/>
          <w:numId w:val="8"/>
        </w:numPr>
        <w:spacing w:lineRule="auto"/>
      </w:pPr>
      <w:r>
        <w:rPr/>
        <w:t xml:space="preserve">KPI: Foodwaste &lt; 3% (gewichts-% t.o.v. geproduceerd), 100% herbruikbare/verantwoorde verpakkingen.</w:t>
      </w:r>
    </w:p>
    <w:p>
      <w:pPr>
        <w:numPr>
          <w:ilvl w:val="1"/>
          <w:numId w:val="8"/>
        </w:numPr>
        <w:spacing w:lineRule="auto"/>
      </w:pPr>
      <w:r>
        <w:rPr/>
        <w:t xml:space="preserve">Risico: R-04 onjuiste forecasting. Maatregelen: voorbestelprikkels, AI-voorspelling, weegmomenten bij uitgifte/retour.</w:t>
      </w:r>
    </w:p>
    <w:p>
      <w:pPr>
        <w:numPr>
          <w:ilvl w:val="1"/>
          <w:numId w:val="8"/>
        </w:numPr>
        <w:spacing w:lineRule="auto"/>
      </w:pPr>
      <w:r>
        <w:rPr/>
        <w:t xml:space="preserve">Bewijs: weegdata, waste-rapportages, verpakkingsspecificaties en retourstromen.</w:t>
      </w:r>
    </w:p>
    <w:p>
      <w:pPr>
        <w:numPr>
          <w:ilvl w:val="0"/>
          <w:numId w:val="4"/>
        </w:numPr>
        <w:spacing w:lineRule="auto"/>
      </w:pPr>
      <w:r>
        <w:rPr/>
        <w:t xml:space="preserve">W-05 Digitaal bestelsysteem &amp; Dieetprofielen</w:t>
      </w:r>
    </w:p>
    <w:p>
      <w:pPr>
        <w:numPr>
          <w:ilvl w:val="1"/>
          <w:numId w:val="9"/>
        </w:numPr>
        <w:spacing w:lineRule="auto"/>
      </w:pPr>
      <w:r>
        <w:rPr/>
        <w:t xml:space="preserve">KPI: 100% actieve gebruikers met dieetprofiel; 99,5% systeem-beschikbaarheid; &lt; 2 uur hersteltijd P1.</w:t>
      </w:r>
    </w:p>
    <w:p>
      <w:pPr>
        <w:numPr>
          <w:ilvl w:val="1"/>
          <w:numId w:val="9"/>
        </w:numPr>
        <w:spacing w:lineRule="auto"/>
      </w:pPr>
      <w:r>
        <w:rPr/>
        <w:t xml:space="preserve">Risico: R-05 foutieve data of privacy-incident (AVG). Maatregelen: datavalidatie, autorisaties, DPIA, versleuteling.</w:t>
      </w:r>
    </w:p>
    <w:p>
      <w:pPr>
        <w:numPr>
          <w:ilvl w:val="1"/>
          <w:numId w:val="9"/>
        </w:numPr>
        <w:spacing w:lineRule="auto"/>
      </w:pPr>
      <w:r>
        <w:rPr/>
        <w:t xml:space="preserve">Bewijs: UAT-scripts, SLA applicatiebeheer, DPIA-rapport, uptime-rapportages.</w:t>
      </w:r>
    </w:p>
    <w:p>
      <w:pPr>
        <w:numPr>
          <w:ilvl w:val="0"/>
          <w:numId w:val="4"/>
        </w:numPr>
        <w:spacing w:lineRule="auto"/>
      </w:pPr>
      <w:r>
        <w:rPr/>
        <w:t xml:space="preserve">W-06 Klantervaring &amp; Continue Verbetering</w:t>
      </w:r>
    </w:p>
    <w:p>
      <w:pPr>
        <w:numPr>
          <w:ilvl w:val="1"/>
          <w:numId w:val="10"/>
        </w:numPr>
        <w:spacing w:lineRule="auto"/>
      </w:pPr>
      <w:r>
        <w:rPr/>
        <w:t xml:space="preserve">KPI: Klanttevredenheid ≥ 8,2 (maandelijks NPS/CES/CSAT), klachtenafhandeling &lt; 2 werkdagen.</w:t>
      </w:r>
    </w:p>
    <w:p>
      <w:pPr>
        <w:numPr>
          <w:ilvl w:val="1"/>
          <w:numId w:val="10"/>
        </w:numPr>
        <w:spacing w:lineRule="auto"/>
      </w:pPr>
      <w:r>
        <w:rPr/>
        <w:t xml:space="preserve">Risico: R-06 menu-tevredenheid daalt. Maatregelen: feedbackloops, seizoensrotatie, A/B menu-tests.</w:t>
      </w:r>
    </w:p>
    <w:p>
      <w:pPr>
        <w:numPr>
          <w:ilvl w:val="1"/>
          <w:numId w:val="10"/>
        </w:numPr>
        <w:spacing w:lineRule="auto"/>
      </w:pPr>
      <w:r>
        <w:rPr/>
        <w:t xml:space="preserve">Bewijs: survey-exports, klachtenregister, verbeteracties (A3’s).</w:t>
      </w:r>
    </w:p>
    <w:p>
      <w:pPr>
        <w:spacing w:lineRule="auto"/>
      </w:pPr>
      <w:r>
        <w:rPr/>
        <w:t xml:space="preserve">Compliance en EMVI-koppeling</w:t>
      </w:r>
    </w:p>
    <w:p>
      <w:pPr>
        <w:numPr>
          <w:ilvl w:val="0"/>
          <w:numId w:val="11"/>
        </w:numPr>
        <w:spacing w:lineRule="auto"/>
      </w:pPr>
      <w:r>
        <w:rPr/>
        <w:t xml:space="preserve">Knock-outs:</w:t>
      </w:r>
    </w:p>
    <w:p>
      <w:pPr>
        <w:numPr>
          <w:ilvl w:val="1"/>
          <w:numId w:val="12"/>
        </w:numPr>
        <w:spacing w:lineRule="auto"/>
      </w:pPr>
      <w:r>
        <w:rPr/>
        <w:t xml:space="preserve">HACCP/ISO 22000 aantoonbaar: Bewijsbundel, W-01/W-03; KPI allergenen = 0.</w:t>
      </w:r>
    </w:p>
    <w:p>
      <w:pPr>
        <w:numPr>
          <w:ilvl w:val="1"/>
          <w:numId w:val="12"/>
        </w:numPr>
        <w:spacing w:lineRule="auto"/>
      </w:pPr>
      <w:r>
        <w:rPr/>
        <w:t xml:space="preserve">Levercapaciteit ≥ 500 couverts/dag: W-03; KPI OTIF ≥ 98%; capaciteitsplanning in PvA.</w:t>
      </w:r>
    </w:p>
    <w:p>
      <w:pPr>
        <w:numPr>
          <w:ilvl w:val="0"/>
          <w:numId w:val="11"/>
        </w:numPr>
        <w:spacing w:lineRule="auto"/>
      </w:pPr>
      <w:r>
        <w:rPr/>
        <w:t xml:space="preserve">Must-haves:</w:t>
      </w:r>
    </w:p>
    <w:p>
      <w:pPr>
        <w:numPr>
          <w:ilvl w:val="1"/>
          <w:numId w:val="13"/>
        </w:numPr>
        <w:spacing w:lineRule="auto"/>
      </w:pPr>
      <w:r>
        <w:rPr/>
        <w:t xml:space="preserve">Allergenenregistratie &amp; dieetprofielen: W-01/W-05; KPI allergenen = 0; bewijs labeling en systeemlogs.</w:t>
      </w:r>
    </w:p>
    <w:p>
      <w:pPr>
        <w:numPr>
          <w:ilvl w:val="1"/>
          <w:numId w:val="13"/>
        </w:numPr>
        <w:spacing w:lineRule="auto"/>
      </w:pPr>
      <w:r>
        <w:rPr/>
        <w:t xml:space="preserve">Minimaal 25% bio/30% lokaal: W-02; KPI inkoop-aandelen; bewijs leveranciers/certificaten.</w:t>
      </w:r>
    </w:p>
    <w:p>
      <w:pPr>
        <w:numPr>
          <w:ilvl w:val="1"/>
          <w:numId w:val="13"/>
        </w:numPr>
        <w:spacing w:lineRule="auto"/>
      </w:pPr>
      <w:r>
        <w:rPr/>
        <w:t xml:space="preserve">Foodwaste &lt; 3% &amp; zero-waste verpakkingen: W-04; KPI waste%; bewijs weegdata en verpakkingen.</w:t>
      </w:r>
    </w:p>
    <w:p>
      <w:pPr>
        <w:numPr>
          <w:ilvl w:val="0"/>
          <w:numId w:val="11"/>
        </w:numPr>
        <w:spacing w:lineRule="auto"/>
      </w:pPr>
      <w:r>
        <w:rPr/>
        <w:t xml:space="preserve">EMVI:</w:t>
      </w:r>
    </w:p>
    <w:p>
      <w:pPr>
        <w:numPr>
          <w:ilvl w:val="1"/>
          <w:numId w:val="14"/>
        </w:numPr>
        <w:spacing w:lineRule="auto"/>
      </w:pPr>
      <w:r>
        <w:rPr/>
        <w:t xml:space="preserve">Kwaliteit (40%): W-01, W-03, W-05; procesborging en SLA-sturing.</w:t>
      </w:r>
    </w:p>
    <w:p>
      <w:pPr>
        <w:numPr>
          <w:ilvl w:val="1"/>
          <w:numId w:val="14"/>
        </w:numPr>
        <w:spacing w:lineRule="auto"/>
      </w:pPr>
      <w:r>
        <w:rPr/>
        <w:t xml:space="preserve">Duurzaamheid (20%): W-02, W-04; meetbare resultaten en rapportage.</w:t>
      </w:r>
    </w:p>
    <w:p>
      <w:pPr>
        <w:numPr>
          <w:ilvl w:val="1"/>
          <w:numId w:val="14"/>
        </w:numPr>
        <w:spacing w:lineRule="auto"/>
      </w:pPr>
      <w:r>
        <w:rPr/>
        <w:t xml:space="preserve">Risicobeheersing (20%): Risicodossier gekoppeld aan KPI’s en triggers.</w:t>
      </w:r>
    </w:p>
    <w:p>
      <w:pPr>
        <w:numPr>
          <w:ilvl w:val="1"/>
          <w:numId w:val="14"/>
        </w:numPr>
        <w:spacing w:lineRule="auto"/>
      </w:pPr>
      <w:r>
        <w:rPr/>
        <w:t xml:space="preserve">Prijs (20%): pricing locked; efficiëntie uit planning, waste-reductie en lokale keten.</w:t>
      </w:r>
    </w:p>
    <w:p>
      <w:pPr>
        <w:spacing w:lineRule="auto"/>
      </w:pPr>
      <w:r>
        <w:rPr/>
        <w:t xml:space="preserve">PDCA en rapportage</w:t>
      </w:r>
    </w:p>
    <w:p>
      <w:pPr>
        <w:numPr>
          <w:ilvl w:val="0"/>
          <w:numId w:val="15"/>
        </w:numPr>
        <w:spacing w:lineRule="auto"/>
      </w:pPr>
      <w:r>
        <w:rPr/>
        <w:t xml:space="preserve">Plan: PvA per W-xx met doelen, middelen, planning en rollen.</w:t>
      </w:r>
    </w:p>
    <w:p>
      <w:pPr>
        <w:numPr>
          <w:ilvl w:val="0"/>
          <w:numId w:val="15"/>
        </w:numPr>
        <w:spacing w:lineRule="auto"/>
      </w:pPr>
      <w:r>
        <w:rPr/>
        <w:t xml:space="preserve">Do: uitvoering volgens SOP’s, digitale bestellingen, logistiek en uitgifte.</w:t>
      </w:r>
    </w:p>
    <w:p>
      <w:pPr>
        <w:numPr>
          <w:ilvl w:val="0"/>
          <w:numId w:val="15"/>
        </w:numPr>
        <w:spacing w:lineRule="auto"/>
      </w:pPr>
      <w:r>
        <w:rPr/>
        <w:t xml:space="preserve">Check: KPI-rapportage per maand; SLA-check per locatie; kwartaal-QBR met Gemeente.</w:t>
      </w:r>
    </w:p>
    <w:p>
      <w:pPr>
        <w:numPr>
          <w:ilvl w:val="0"/>
          <w:numId w:val="15"/>
        </w:numPr>
        <w:spacing w:lineRule="auto"/>
      </w:pPr>
      <w:r>
        <w:rPr/>
        <w:t xml:space="preserve">Act: afwijkingen &gt; drempel → RCA binnen 5 werkdagen; verbeteractie met eigenaar, deadline en effectmeting.</w:t>
      </w:r>
    </w:p>
    <w:p>
      <w:pPr>
        <w:spacing w:lineRule="auto"/>
      </w:pPr>
      <w:r>
        <w:rPr/>
        <w:t xml:space="preserve">Leeshulp: hoe te gebruiken</w:t>
      </w:r>
    </w:p>
    <w:p>
      <w:pPr>
        <w:numPr>
          <w:ilvl w:val="0"/>
          <w:numId w:val="16"/>
        </w:numPr>
        <w:spacing w:lineRule="auto"/>
      </w:pPr>
      <w:r>
        <w:rPr/>
        <w:t xml:space="preserve">Stap 1: Lees PvA sectie 1–2 voor scope en planning; raadpleeg per W-xx de doelstellingen en processen.</w:t>
      </w:r>
    </w:p>
    <w:p>
      <w:pPr>
        <w:numPr>
          <w:ilvl w:val="0"/>
          <w:numId w:val="16"/>
        </w:numPr>
        <w:spacing w:lineRule="auto"/>
      </w:pPr>
      <w:r>
        <w:rPr/>
        <w:t xml:space="preserve">Stap 2: Controleer in het KPI-overzicht de norm, meetmethode en rapportagefrequentie per W-xx.</w:t>
      </w:r>
    </w:p>
    <w:p>
      <w:pPr>
        <w:numPr>
          <w:ilvl w:val="0"/>
          <w:numId w:val="16"/>
        </w:numPr>
        <w:spacing w:lineRule="auto"/>
      </w:pPr>
      <w:r>
        <w:rPr/>
        <w:t xml:space="preserve">Stap 3: Bekijk in het Risicodossier per W-xx de top-risico’s, triggers en maatregelen.</w:t>
      </w:r>
    </w:p>
    <w:p>
      <w:pPr>
        <w:numPr>
          <w:ilvl w:val="0"/>
          <w:numId w:val="16"/>
        </w:numPr>
        <w:spacing w:lineRule="auto"/>
      </w:pPr>
      <w:r>
        <w:rPr/>
        <w:t xml:space="preserve">Stap 4: Verifieer bewijslast in de Bewijsbundel; vergelijk met KO/must eisen.</w:t>
      </w:r>
    </w:p>
    <w:p>
      <w:pPr>
        <w:numPr>
          <w:ilvl w:val="0"/>
          <w:numId w:val="16"/>
        </w:numPr>
        <w:spacing w:lineRule="auto"/>
      </w:pPr>
      <w:r>
        <w:rPr/>
        <w:t xml:space="preserve">Stap 5: Raadpleeg SLA-paragraaf (in PvA en KPI-overzicht) voor escalaties en verbeterloops.</w:t>
      </w:r>
    </w:p>
    <w:p>
      <w:pPr>
        <w:spacing w:lineRule="auto"/>
      </w:pPr>
      <w:r>
        <w:rPr/>
        <w:t xml:space="preserve">Randvoorwaarden en garanties</w:t>
      </w:r>
    </w:p>
    <w:p>
      <w:pPr>
        <w:numPr>
          <w:ilvl w:val="0"/>
          <w:numId w:val="17"/>
        </w:numPr>
        <w:spacing w:lineRule="auto"/>
      </w:pPr>
      <w:r>
        <w:rPr/>
        <w:t xml:space="preserve">Prijs: pricing locked conform aannamebeleid.</w:t>
      </w:r>
    </w:p>
    <w:p>
      <w:pPr>
        <w:numPr>
          <w:ilvl w:val="0"/>
          <w:numId w:val="17"/>
        </w:numPr>
        <w:spacing w:lineRule="auto"/>
      </w:pPr>
      <w:r>
        <w:rPr/>
        <w:t xml:space="preserve">Garantie: 12 maanden op prestaties van systemen en herbruikbare verpakkingen.</w:t>
      </w:r>
    </w:p>
    <w:p>
      <w:pPr>
        <w:numPr>
          <w:ilvl w:val="0"/>
          <w:numId w:val="17"/>
        </w:numPr>
        <w:spacing w:lineRule="auto"/>
      </w:pPr>
      <w:r>
        <w:rPr/>
        <w:t xml:space="preserve">Privacy/AVG: DPIA en verwerkersafspraken geborgd (W-05).</w:t>
      </w:r>
    </w:p>
    <w:p>
      <w:pPr>
        <w:spacing w:lineRule="auto"/>
      </w:pPr>
      <w:r>
        <w:rPr/>
        <w:t xml:space="preserve">Planning en deadlines</w:t>
      </w:r>
    </w:p>
    <w:p>
      <w:pPr>
        <w:numPr>
          <w:ilvl w:val="0"/>
          <w:numId w:val="18"/>
        </w:numPr>
        <w:spacing w:lineRule="auto"/>
      </w:pPr>
      <w:r>
        <w:rPr/>
        <w:t xml:space="preserve">Indiening: 2026-01-20.</w:t>
      </w:r>
    </w:p>
    <w:p>
      <w:pPr>
        <w:numPr>
          <w:ilvl w:val="0"/>
          <w:numId w:val="18"/>
        </w:numPr>
        <w:spacing w:lineRule="auto"/>
      </w:pPr>
      <w:r>
        <w:rPr/>
        <w:t xml:space="preserve">Uitvoering: levervensters 11:00–13:30, start conform gunningsplanning; detailplanning in PvA Gantt.</w:t>
      </w:r>
    </w:p>
    <w:p>
      <w:pPr>
        <w:spacing w:lineRule="auto"/>
      </w:pPr>
      <w:r>
        <w:rPr/>
        <w:t xml:space="preserve">Contact en governance</w:t>
      </w:r>
    </w:p>
    <w:p>
      <w:pPr>
        <w:numPr>
          <w:ilvl w:val="0"/>
          <w:numId w:val="19"/>
        </w:numPr>
        <w:spacing w:lineRule="auto"/>
      </w:pPr>
      <w:r>
        <w:rPr/>
        <w:t xml:space="preserve">Operationele aansturing: servicemanager en locatiecoördinatoren (rollen beschreven in PvA).</w:t>
      </w:r>
    </w:p>
    <w:p>
      <w:pPr>
        <w:numPr>
          <w:ilvl w:val="0"/>
          <w:numId w:val="19"/>
        </w:numPr>
        <w:spacing w:lineRule="auto"/>
      </w:pPr>
      <w:r>
        <w:rPr/>
        <w:t xml:space="preserve">Overlegstructuur: maandrapportage, kwartaal-QBR, jaarlijkse evaluatie en herijking KPI’s.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— Lees Mij</dc:title>
  <dc:subject/>
  <dc:creator>html-to-docx</dc:creator>
  <cp:keywords>html-to-docx</cp:keywords>
  <dc:description/>
  <cp:lastModifiedBy>html-to-docx</cp:lastModifiedBy>
  <cp:revision>1</cp:revision>
  <dcterms:created xsi:type="dcterms:W3CDTF">2025-11-04T09:44:49.248Z</dcterms:created>
  <dcterms:modified xsi:type="dcterms:W3CDTF">2025-11-04T09:44:49.248Z</dcterms:modified>
</cp:coreProperties>
</file>