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Risicoregister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Risico’s — Risicoregister Caternext B.V. voor Raamovereenkomst Duurzame Catering en Bedrijfslunch 2026–2030 (GEM-AMS-CATER-2026-014)</w:t>
      </w:r>
    </w:p>
    <w:p>
      <w:pPr>
        <w:spacing w:lineRule="auto"/>
      </w:pPr>
      <w:r>
        <w:rPr/>
        <w:t xml:space="preserve">Doel en methodiek</w:t>
      </w:r>
    </w:p>
    <w:p>
      <w:pPr>
        <w:numPr>
          <w:ilvl w:val="0"/>
          <w:numId w:val="1"/>
        </w:numPr>
        <w:spacing w:lineRule="auto"/>
      </w:pPr>
      <w:r>
        <w:rPr/>
        <w:t xml:space="preserve">Doel: aantoonbaar beheersen van contractrisico’s voor dagelijks ≥500 couverts, multi-site levering binnen 11:00–13:30, met 25% biologisch, 30% lokaal/regionaal, zero-waste en foodwaste &lt;3%, allergenen conform EU 1169/2011, digitaal bestelsysteem met dieetprofielen.</w:t>
      </w:r>
    </w:p>
    <w:p>
      <w:pPr>
        <w:numPr>
          <w:ilvl w:val="0"/>
          <w:numId w:val="1"/>
        </w:numPr>
        <w:spacing w:lineRule="auto"/>
      </w:pPr>
      <w:r>
        <w:rPr/>
        <w:t xml:space="preserve">Scoringsmethode: Kans = percentage binnen komende 12 maanden; Impact = 1 (laag) t/m 5 (zeer hoog); Score = L × I, met Likelihood L afgeleid van Kans: 0–10% =1; 11–30% =2; 31–50% =3; 51–70% =4; &gt;70% =5.</w:t>
      </w:r>
    </w:p>
    <w:p>
      <w:pPr>
        <w:numPr>
          <w:ilvl w:val="0"/>
          <w:numId w:val="1"/>
        </w:numPr>
        <w:spacing w:lineRule="auto"/>
      </w:pPr>
      <w:r>
        <w:rPr/>
        <w:t xml:space="preserve">PDCA: elke maatregel is SMART en benoemt Plan–Do–Check–Act inclusief frequentie, eigenaar en drempelwaarden.</w:t>
      </w:r>
    </w:p>
    <w:p>
      <w:pPr>
        <w:numPr>
          <w:ilvl w:val="0"/>
          <w:numId w:val="1"/>
        </w:numPr>
        <w:spacing w:lineRule="auto"/>
      </w:pPr>
      <w:r>
        <w:rPr/>
        <w:t xml:space="preserve">Kruisverbanden: elk risico linkt naar relevante KPI’s en Werkpakketten (W-xx); bewijsvoering via E-xx.</w:t>
      </w:r>
    </w:p>
    <w:p>
      <w:pPr>
        <w:spacing w:lineRule="auto"/>
      </w:pPr>
      <w:r>
        <w:rPr/>
        <w:t xml:space="preserve">Werkpakketten (W-xx)</w:t>
      </w:r>
    </w:p>
    <w:p>
      <w:pPr>
        <w:numPr>
          <w:ilvl w:val="0"/>
          <w:numId w:val="2"/>
        </w:numPr>
        <w:spacing w:lineRule="auto"/>
      </w:pPr>
      <w:r>
        <w:rPr/>
        <w:t xml:space="preserve">W-01 Menu-ontwikkeling en seizoensplanning</w:t>
      </w:r>
    </w:p>
    <w:p>
      <w:pPr>
        <w:numPr>
          <w:ilvl w:val="0"/>
          <w:numId w:val="2"/>
        </w:numPr>
        <w:spacing w:lineRule="auto"/>
      </w:pPr>
      <w:r>
        <w:rPr/>
        <w:t xml:space="preserve">W-02 Inkoop lokaal/regionaal en biologisch</w:t>
      </w:r>
    </w:p>
    <w:p>
      <w:pPr>
        <w:numPr>
          <w:ilvl w:val="0"/>
          <w:numId w:val="2"/>
        </w:numPr>
        <w:spacing w:lineRule="auto"/>
      </w:pPr>
      <w:r>
        <w:rPr/>
        <w:t xml:space="preserve">W-03 Allergenen- en dieetbeheer</w:t>
      </w:r>
    </w:p>
    <w:p>
      <w:pPr>
        <w:numPr>
          <w:ilvl w:val="0"/>
          <w:numId w:val="2"/>
        </w:numPr>
        <w:spacing w:lineRule="auto"/>
      </w:pPr>
      <w:r>
        <w:rPr/>
        <w:t xml:space="preserve">W-04 Digitaal bestelsysteem en orderflow</w:t>
      </w:r>
    </w:p>
    <w:p>
      <w:pPr>
        <w:numPr>
          <w:ilvl w:val="0"/>
          <w:numId w:val="2"/>
        </w:numPr>
        <w:spacing w:lineRule="auto"/>
      </w:pPr>
      <w:r>
        <w:rPr/>
        <w:t xml:space="preserve">W-05 Productie/keuken en portionering</w:t>
      </w:r>
    </w:p>
    <w:p>
      <w:pPr>
        <w:numPr>
          <w:ilvl w:val="0"/>
          <w:numId w:val="2"/>
        </w:numPr>
        <w:spacing w:lineRule="auto"/>
      </w:pPr>
      <w:r>
        <w:rPr/>
        <w:t xml:space="preserve">W-06 Logistiek, routing en tijdvakken</w:t>
      </w:r>
    </w:p>
    <w:p>
      <w:pPr>
        <w:numPr>
          <w:ilvl w:val="0"/>
          <w:numId w:val="2"/>
        </w:numPr>
        <w:spacing w:lineRule="auto"/>
      </w:pPr>
      <w:r>
        <w:rPr/>
        <w:t xml:space="preserve">W-07 Zero-waste &amp; foodwaste-reductie</w:t>
      </w:r>
    </w:p>
    <w:p>
      <w:pPr>
        <w:numPr>
          <w:ilvl w:val="0"/>
          <w:numId w:val="2"/>
        </w:numPr>
        <w:spacing w:lineRule="auto"/>
      </w:pPr>
      <w:r>
        <w:rPr/>
        <w:t xml:space="preserve">W-08 Klantfeedback &amp; service</w:t>
      </w:r>
    </w:p>
    <w:p>
      <w:pPr>
        <w:numPr>
          <w:ilvl w:val="0"/>
          <w:numId w:val="2"/>
        </w:numPr>
        <w:spacing w:lineRule="auto"/>
      </w:pPr>
      <w:r>
        <w:rPr/>
        <w:t xml:space="preserve">W-09 Capaciteit &amp; personeelsplanning</w:t>
      </w:r>
    </w:p>
    <w:p>
      <w:pPr>
        <w:numPr>
          <w:ilvl w:val="0"/>
          <w:numId w:val="2"/>
        </w:numPr>
        <w:spacing w:lineRule="auto"/>
      </w:pPr>
      <w:r>
        <w:rPr/>
        <w:t xml:space="preserve">W-10 Compliance HACCP/ISO 22000</w:t>
      </w:r>
    </w:p>
    <w:p>
      <w:pPr>
        <w:numPr>
          <w:ilvl w:val="0"/>
          <w:numId w:val="2"/>
        </w:numPr>
        <w:spacing w:lineRule="auto"/>
      </w:pPr>
      <w:r>
        <w:rPr/>
        <w:t xml:space="preserve">W-11 Leveranciersmanagement &amp; continuïteit</w:t>
      </w:r>
    </w:p>
    <w:p>
      <w:pPr>
        <w:numPr>
          <w:ilvl w:val="0"/>
          <w:numId w:val="2"/>
        </w:numPr>
        <w:spacing w:lineRule="auto"/>
      </w:pPr>
      <w:r>
        <w:rPr/>
        <w:t xml:space="preserve">W-12 IT-security &amp; privacy (AVG)</w:t>
      </w:r>
    </w:p>
    <w:p>
      <w:pPr>
        <w:spacing w:lineRule="auto"/>
      </w:pPr>
      <w:r>
        <w:rPr/>
        <w:t xml:space="preserve">KPI’s</w:t>
      </w:r>
    </w:p>
    <w:p>
      <w:pPr>
        <w:numPr>
          <w:ilvl w:val="0"/>
          <w:numId w:val="3"/>
        </w:numPr>
        <w:spacing w:lineRule="auto"/>
      </w:pPr>
      <w:r>
        <w:rPr/>
        <w:t xml:space="preserve">KPI-01 Op tijd geleverd ≥98%</w:t>
      </w:r>
    </w:p>
    <w:p>
      <w:pPr>
        <w:numPr>
          <w:ilvl w:val="0"/>
          <w:numId w:val="3"/>
        </w:numPr>
        <w:spacing w:lineRule="auto"/>
      </w:pPr>
      <w:r>
        <w:rPr/>
        <w:t xml:space="preserve">KPI-02 Klanttevredenheid ≥8,2</w:t>
      </w:r>
    </w:p>
    <w:p>
      <w:pPr>
        <w:numPr>
          <w:ilvl w:val="0"/>
          <w:numId w:val="3"/>
        </w:numPr>
        <w:spacing w:lineRule="auto"/>
      </w:pPr>
      <w:r>
        <w:rPr/>
        <w:t xml:space="preserve">KPI-03 Allergenen-fouten = 0</w:t>
      </w:r>
    </w:p>
    <w:p>
      <w:pPr>
        <w:numPr>
          <w:ilvl w:val="0"/>
          <w:numId w:val="3"/>
        </w:numPr>
        <w:spacing w:lineRule="auto"/>
      </w:pPr>
      <w:r>
        <w:rPr/>
        <w:t xml:space="preserve">KPI-04 Foodwaste &lt;3% (massa%)</w:t>
      </w:r>
    </w:p>
    <w:p>
      <w:pPr>
        <w:numPr>
          <w:ilvl w:val="0"/>
          <w:numId w:val="3"/>
        </w:numPr>
        <w:spacing w:lineRule="auto"/>
      </w:pPr>
      <w:r>
        <w:rPr/>
        <w:t xml:space="preserve">KPI-05 Biologisch aandeel ≥25% (omzet%)</w:t>
      </w:r>
    </w:p>
    <w:p>
      <w:pPr>
        <w:numPr>
          <w:ilvl w:val="0"/>
          <w:numId w:val="3"/>
        </w:numPr>
        <w:spacing w:lineRule="auto"/>
      </w:pPr>
      <w:r>
        <w:rPr/>
        <w:t xml:space="preserve">KPI-06 Lokaal/regionaal ≥30% (omzet%)</w:t>
      </w:r>
    </w:p>
    <w:p>
      <w:pPr>
        <w:numPr>
          <w:ilvl w:val="0"/>
          <w:numId w:val="3"/>
        </w:numPr>
        <w:spacing w:lineRule="auto"/>
      </w:pPr>
      <w:r>
        <w:rPr/>
        <w:t xml:space="preserve">KPI-07 Zero-waste verpakking 100% van leveringen</w:t>
      </w:r>
    </w:p>
    <w:p>
      <w:pPr>
        <w:numPr>
          <w:ilvl w:val="0"/>
          <w:numId w:val="3"/>
        </w:numPr>
        <w:spacing w:lineRule="auto"/>
      </w:pPr>
      <w:r>
        <w:rPr/>
        <w:t xml:space="preserve">KPI-08 NPS ≥+40</w:t>
      </w:r>
    </w:p>
    <w:p>
      <w:pPr>
        <w:numPr>
          <w:ilvl w:val="0"/>
          <w:numId w:val="3"/>
        </w:numPr>
        <w:spacing w:lineRule="auto"/>
      </w:pPr>
      <w:r>
        <w:rPr/>
        <w:t xml:space="preserve">KPI-09 Systeem-uptime ≥99,5%</w:t>
      </w:r>
    </w:p>
    <w:p>
      <w:pPr>
        <w:numPr>
          <w:ilvl w:val="0"/>
          <w:numId w:val="3"/>
        </w:numPr>
        <w:spacing w:lineRule="auto"/>
      </w:pPr>
      <w:r>
        <w:rPr/>
        <w:t xml:space="preserve">KPI-10 AVG-incidenten = 0</w:t>
      </w:r>
    </w:p>
    <w:p>
      <w:pPr>
        <w:numPr>
          <w:ilvl w:val="0"/>
          <w:numId w:val="3"/>
        </w:numPr>
        <w:spacing w:lineRule="auto"/>
      </w:pPr>
      <w:r>
        <w:rPr/>
        <w:t xml:space="preserve">KPI-11 Temperatuur-compliance tijdens transport ≥99,9% (HACCP)</w:t>
      </w:r>
    </w:p>
    <w:p>
      <w:pPr>
        <w:spacing w:lineRule="auto"/>
      </w:pPr>
      <w:r>
        <w:rPr/>
        <w:t xml:space="preserve">Bewijs (E-xx)</w:t>
      </w:r>
    </w:p>
    <w:p>
      <w:pPr>
        <w:numPr>
          <w:ilvl w:val="0"/>
          <w:numId w:val="4"/>
        </w:numPr>
        <w:spacing w:lineRule="auto"/>
      </w:pPr>
      <w:r>
        <w:rPr/>
        <w:t xml:space="preserve">E-01 Track&amp;Trace en afleverscans</w:t>
      </w:r>
    </w:p>
    <w:p>
      <w:pPr>
        <w:numPr>
          <w:ilvl w:val="0"/>
          <w:numId w:val="4"/>
        </w:numPr>
        <w:spacing w:lineRule="auto"/>
      </w:pPr>
      <w:r>
        <w:rPr/>
        <w:t xml:space="preserve">E-02 HACCP-temperatuurlogs (keuken/transport)</w:t>
      </w:r>
    </w:p>
    <w:p>
      <w:pPr>
        <w:numPr>
          <w:ilvl w:val="0"/>
          <w:numId w:val="4"/>
        </w:numPr>
        <w:spacing w:lineRule="auto"/>
      </w:pPr>
      <w:r>
        <w:rPr/>
        <w:t xml:space="preserve">E-03 Allergenenregister-export en etiketten</w:t>
      </w:r>
    </w:p>
    <w:p>
      <w:pPr>
        <w:numPr>
          <w:ilvl w:val="0"/>
          <w:numId w:val="4"/>
        </w:numPr>
        <w:spacing w:lineRule="auto"/>
      </w:pPr>
      <w:r>
        <w:rPr/>
        <w:t xml:space="preserve">E-04 Systeem audittrail (bestellingen/dieetprofielen)</w:t>
      </w:r>
    </w:p>
    <w:p>
      <w:pPr>
        <w:numPr>
          <w:ilvl w:val="0"/>
          <w:numId w:val="4"/>
        </w:numPr>
        <w:spacing w:lineRule="auto"/>
      </w:pPr>
      <w:r>
        <w:rPr/>
        <w:t xml:space="preserve">E-05 Inkoopfacturen &amp; herkomstverklaringen</w:t>
      </w:r>
    </w:p>
    <w:p>
      <w:pPr>
        <w:numPr>
          <w:ilvl w:val="0"/>
          <w:numId w:val="4"/>
        </w:numPr>
        <w:spacing w:lineRule="auto"/>
      </w:pPr>
      <w:r>
        <w:rPr/>
        <w:t xml:space="preserve">E-06 SKAL/EKO-certificaten en leverancierscertificaten</w:t>
      </w:r>
    </w:p>
    <w:p>
      <w:pPr>
        <w:numPr>
          <w:ilvl w:val="0"/>
          <w:numId w:val="4"/>
        </w:numPr>
        <w:spacing w:lineRule="auto"/>
      </w:pPr>
      <w:r>
        <w:rPr/>
        <w:t xml:space="preserve">E-07 Foodwaste-dashboard rapportages</w:t>
      </w:r>
    </w:p>
    <w:p>
      <w:pPr>
        <w:numPr>
          <w:ilvl w:val="0"/>
          <w:numId w:val="4"/>
        </w:numPr>
        <w:spacing w:lineRule="auto"/>
      </w:pPr>
      <w:r>
        <w:rPr/>
        <w:t xml:space="preserve">E-08 Klanttevredenheid-/NPS-surveys</w:t>
      </w:r>
    </w:p>
    <w:p>
      <w:pPr>
        <w:numPr>
          <w:ilvl w:val="0"/>
          <w:numId w:val="4"/>
        </w:numPr>
        <w:spacing w:lineRule="auto"/>
      </w:pPr>
      <w:r>
        <w:rPr/>
        <w:t xml:space="preserve">E-09 Maandelijkse SLA-rapportage</w:t>
      </w:r>
    </w:p>
    <w:p>
      <w:pPr>
        <w:numPr>
          <w:ilvl w:val="0"/>
          <w:numId w:val="4"/>
        </w:numPr>
        <w:spacing w:lineRule="auto"/>
      </w:pPr>
      <w:r>
        <w:rPr/>
        <w:t xml:space="preserve">E-10 AVG-incidentenregister en DPIA</w:t>
      </w:r>
    </w:p>
    <w:p>
      <w:pPr>
        <w:numPr>
          <w:ilvl w:val="0"/>
          <w:numId w:val="4"/>
        </w:numPr>
        <w:spacing w:lineRule="auto"/>
      </w:pPr>
      <w:r>
        <w:rPr/>
        <w:t xml:space="preserve">E-11 Pentest/ISO 27001-statement of applicability</w:t>
      </w:r>
    </w:p>
    <w:p>
      <w:pPr>
        <w:numPr>
          <w:ilvl w:val="0"/>
          <w:numId w:val="4"/>
        </w:numPr>
        <w:spacing w:lineRule="auto"/>
      </w:pPr>
      <w:r>
        <w:rPr/>
        <w:t xml:space="preserve">E-12 Trainingsregister personeel</w:t>
      </w:r>
    </w:p>
    <w:p>
      <w:pPr>
        <w:numPr>
          <w:ilvl w:val="0"/>
          <w:numId w:val="4"/>
        </w:numPr>
        <w:spacing w:lineRule="auto"/>
      </w:pPr>
      <w:r>
        <w:rPr/>
        <w:t xml:space="preserve">E-13 Capaciteits-/roosterplanning</w:t>
      </w:r>
    </w:p>
    <w:p>
      <w:pPr>
        <w:numPr>
          <w:ilvl w:val="0"/>
          <w:numId w:val="4"/>
        </w:numPr>
        <w:spacing w:lineRule="auto"/>
      </w:pPr>
      <w:r>
        <w:rPr/>
        <w:t xml:space="preserve">E-14 BCM/continuïteitsplan en uitwijkprocedures</w:t>
      </w:r>
    </w:p>
    <w:p>
      <w:pPr>
        <w:numPr>
          <w:ilvl w:val="0"/>
          <w:numId w:val="4"/>
        </w:numPr>
        <w:spacing w:lineRule="auto"/>
      </w:pPr>
      <w:r>
        <w:rPr/>
        <w:t xml:space="preserve">E-15 Leverancierscontracten en servicelevels</w:t>
      </w:r>
    </w:p>
    <w:p>
      <w:pPr>
        <w:spacing w:lineRule="auto"/>
      </w:pPr>
      <w:r>
        <w:rPr/>
        <w:t xml:space="preserve">Risicotabel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Beheersmaatregel (SMART, PDCA)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KPI/W-xx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 Risk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Te late levering door verkeerscongestie of routefouten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Optimaliseer routes met tijdslot-simulatie en buffers van 15 min per locatie voor 11:00–13:30, gereed binnen 4 weken pre-go-live. D: Inzet 10% extra piekcapaciteit en live ETA via TMS. C: Dagelijkse OTD-monitoring 12:00 en 14:00; wekelijkse review. A: Bij OTD &lt;98% week, herrouteer en voeg tijdelijke rit toe binnen 24 uur.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Logistiek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KPI-01, 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W-06, W-09; Bewijs: E-01, E-09, E-13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Allergenenfout in registratie of uitgifte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Dubbele controleflow met QR-etiket en lijnchef-check, ingevoerd binnen 2 weken. D: 100% batchlabels uit menu-engine; team getraind 2x/jaar. C: Daily pre-shift audit 10 checks; maandelijks interne audit. A: Incident→levering stopzetten, root cause binnen 48u, hertraining binnen 72u. Doel: 0 fouten.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Kwaliteitsmanager Voedselveiligheid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Geïmplementeerd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KPI-03, 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W-03, W-05, W-10; Bewijs: E-03, E-12, E-02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Onvoldoende capaciteit voor ≥500 couverts/dag bij multi-site piek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Capaciteitsmodel en roosters op 120% piek, gereed T-30 dagen. D: Flexpool 15 FTE oproepbaar met 24u notice. C: Dagelijks 10:00 cut-off vergelijking orders vs. capaciteit. A: Bij &gt;95% benutting, schakel flexpool en pre-pack binnen 2 uur.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KPI-01, 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W-09, W-05, W-06; Bewijs: E-13, E-01, E-09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IT-storing digitaal bestelsysteem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Actieve-active hosting en RTO 30 min vastgelegd. D: Uptime monitoring 24/7 en fallback naar CSV-picklists. C: Uptime wekelijkse rapportage; maandelijkse failover-test. A: Bij uptime &lt;99,5% maand, plan verbeteractie binnen 5 werkdagen.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Geïmplementeerd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KPI-09, KPI-01, 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W-04, W-12; Bewijs: E-04, E-11, E-09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Onvoldoende biologisch aandeel (&lt;25%)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Contracteer 3 bio-leveranciers per productgroep binnen 6 weken. D: Inkoopblokkades op niet-bio boven 75% mix. C: Wekelijkse dashboard-check; maandrapport. A: Bij &lt;25% maand, menu-switch naar bio-alternatieven binnen 5 werkdagen.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KPI-05, 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W-02, W-01, W-11; Bewijs: E-05, E-06, E-09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Onvoldoende lokaal/regionaal aandeel (&lt;30%)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Sourcelijst per seizoen met ≥2 regionale opties per item, T-45 dagen. D: 12-maanden raamcontracten met lokale coöps. C: Maandelijks spend-analyse. A: Bij &lt;30% maand, herallocatie volumes en seizoensmenu-aanpassing binnen 10 werkdagen.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Duurzaamheidscoördinator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KPI-06, 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W-02, W-01, W-11; Bewijs: E-05, E-15, E-09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Foodwaste &gt;3%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Demand-forecasting op historiek + weersfactor, live T-1 dag. D: Portionering met GN-bakken en 2 cm headspace, FIFO. C: Dagelijkse weging reststromen; weekrapport. A: Bij &gt;3% week, pas portiegrootte met 5% aan en vervang 2 items door houdbare opties binnen 7 dagen.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Chef Productie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Verbetering 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KPI-04, KPI-07, 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W-07, W-05, W-01; Bewijs: E-07, E-02, E-09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Zero-waste verpakkingen niet beschikbaar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Tweesporenbeleid: herbruikbare bakjes + wasstraat; backup met composteerbaar gecertificeerd. D: Veiligheidsvoorraad 4 weken. C: Voorraadcheck 2x per week. A: Bij &lt;2 weken voorraad, automatische herbestelling en tijdelijke alternatieven met retourlogistiek.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Duurzaamheidscoördinator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KPI-07, KPI-04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W-07, W-06, W-11; Bewijs: E-05, E-09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Klanttevredenheid &lt;8,2 door kwaliteitsvariatie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Menu-rotatie 6-wekelijks, 20% chef’s specials; sensortests per kwartaal. D: Service host op piekdagen; warmhoudnorm &gt;63°C. C: Dagelijkse smiley-scan + maandelijkse survey. A: Bij &lt;8,2 maand, voer 2 snelle menu-verbeteringen binnen 10 dagen door.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KPI-02, KPI-11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W-05, W-08; Bewijs: E-08, E-02, E-09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AVG/privacy-incident met dieetprofielen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DPIA afgerond en DLP-regels binnen 30 dagen pre-start. D: Role-based access, logging, encryptie at rest/in transit. C: Maandelijkse log-review; kwartaal pentest. A: Incidentprotocol: melding binnen 72 uur en root-cause binnen 5 werkdagen.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Geïmplementeerd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KPI-10, KPI-09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W-12, W-04; Bewijs: E-10, E-11, E-04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HACCP/ISO 22000 auditafwijkingen of certificaatverloop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Jaarplanning interne audits 1x/kwartaal; certificaatbewaking T-90/T-30. D: CCP monitoring per batch en transport. C: Auditscore-trend per kwartaal. A: Bij major afwijking: CAPA binnen 5 werkdagen, her-audit binnen 30 dagen.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Kwaliteitsmanager Voedselveiligheid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Geïmplementeerd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KPI-11, 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W-10, W-05, W-06; Bewijs: E-02, E-12, E-09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Leveranciersuitval (lokaal/bio)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Dual-sourcing ≥2 leveranciers per kritische SKU, met 48u-leverzekerheid. D: Safety stock 10 dagen voor kritische items. C: Leverbetrouwbaarheid maandelijks. A: Bij uitval: activeer alternatieve leverancier binnen 24u en communiceer menu-swap.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Supply Chain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KPI-01, KPI-05, KPI-06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W-11, W-02, W-01; Bewijs: E-15, E-05, E-09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Temperatuurafwijking tijdens transport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Geïsoleerde kratten + dataloggers op elke rit, norm &gt;63°C warm/ &lt;7°C koud. D: Chauffeursinstructie en checklists per stop. C: 100% loggeruitlezing per rit. A: Bij afwijking: blokkade uitgifte, retour en herlevering binnen 60 min.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Logistiek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Geïmplementeerd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KPI-11, 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W-06, W-05, W-10; Bewijs: E-02, E-01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Kostendruk/inflatie leidt tot kwaliteitsverlaging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Quarterly should-cost en receptuurrevisie met behoud voedingswaarde. D: Substitueer 10% high-cost ingrediënten met lokale seizoensalternatieven. C: Materiaalkosten% vs. norm maandelijks. A: Bij &gt;+2% afwijking, receptuuraanpassing binnen 10 dagen zonder KPI-02 daling.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KPI-02, KPI-05, KPI-06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W-02, W-11; Bewijs: E-05, E-09, E-08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Toelichting PDCA-borging en rapportage</w:t>
      </w:r>
    </w:p>
    <w:p>
      <w:pPr>
        <w:numPr>
          <w:ilvl w:val="0"/>
          <w:numId w:val="5"/>
        </w:numPr>
        <w:spacing w:lineRule="auto"/>
      </w:pPr>
      <w:r>
        <w:rPr/>
        <w:t xml:space="preserve">Operationele PDCA-cyclus: dagelijks stand-up 09:00 (P/D), middagsprint 14:30 (C/A op OTD, allergenen, temperatuur), met escalaties naar Operations Manager bij drempels: OTD &lt;98% dag, allergenen-issue (direct), temp-afwijking (direct).</w:t>
      </w:r>
    </w:p>
    <w:p>
      <w:pPr>
        <w:numPr>
          <w:ilvl w:val="0"/>
          <w:numId w:val="5"/>
        </w:numPr>
        <w:spacing w:lineRule="auto"/>
      </w:pPr>
      <w:r>
        <w:rPr/>
        <w:t xml:space="preserve">Tactische PDCA-cyclus: wekelijks KPI-review met Gemeente Amsterdam (C), acties gejournaliseerd in CAPA-register met eigenaar en doorlooptijd ≤10 werkdagen (A). Bewijs: E-09 (SLA-rapport), E-07 (foodwaste), E-08 (tevredenheid).</w:t>
      </w:r>
    </w:p>
    <w:p>
      <w:pPr>
        <w:numPr>
          <w:ilvl w:val="0"/>
          <w:numId w:val="5"/>
        </w:numPr>
        <w:spacing w:lineRule="auto"/>
      </w:pPr>
      <w:r>
        <w:rPr/>
        <w:t xml:space="preserve">Strategische PDCA-cyclus: kwartaalbusinessreview (QBR) met trendanalyses en verbetervoorstellen (bijv. verschuiving naar andere lokale teelt in winter), inclusief revisie van W-xx en KPI-targets indien overeengekomen.</w:t>
      </w:r>
    </w:p>
    <w:p>
      <w:pPr>
        <w:spacing w:lineRule="auto"/>
      </w:pPr>
      <w:r>
        <w:rPr/>
        <w:t xml:space="preserve">Kruisverwijzing KPI ↔ Bewijs (selectie)</w:t>
      </w:r>
    </w:p>
    <w:p>
      <w:pPr>
        <w:numPr>
          <w:ilvl w:val="0"/>
          <w:numId w:val="6"/>
        </w:numPr>
        <w:spacing w:lineRule="auto"/>
      </w:pPr>
      <w:r>
        <w:rPr/>
        <w:t xml:space="preserve">KPI-01 Op tijd geleverd: E-01, E-09</w:t>
      </w:r>
    </w:p>
    <w:p>
      <w:pPr>
        <w:numPr>
          <w:ilvl w:val="0"/>
          <w:numId w:val="6"/>
        </w:numPr>
        <w:spacing w:lineRule="auto"/>
      </w:pPr>
      <w:r>
        <w:rPr/>
        <w:t xml:space="preserve">KPI-02 Klanttevredenheid: E-08, E-09</w:t>
      </w:r>
    </w:p>
    <w:p>
      <w:pPr>
        <w:numPr>
          <w:ilvl w:val="0"/>
          <w:numId w:val="6"/>
        </w:numPr>
        <w:spacing w:lineRule="auto"/>
      </w:pPr>
      <w:r>
        <w:rPr/>
        <w:t xml:space="preserve">KPI-03 Allergenen-fouten: E-03, E-12</w:t>
      </w:r>
    </w:p>
    <w:p>
      <w:pPr>
        <w:numPr>
          <w:ilvl w:val="0"/>
          <w:numId w:val="6"/>
        </w:numPr>
        <w:spacing w:lineRule="auto"/>
      </w:pPr>
      <w:r>
        <w:rPr/>
        <w:t xml:space="preserve">KPI-04 Foodwaste: E-07</w:t>
      </w:r>
    </w:p>
    <w:p>
      <w:pPr>
        <w:numPr>
          <w:ilvl w:val="0"/>
          <w:numId w:val="6"/>
        </w:numPr>
        <w:spacing w:lineRule="auto"/>
      </w:pPr>
      <w:r>
        <w:rPr/>
        <w:t xml:space="preserve">KPI-05 Bio ≥25%: E-05, E-06</w:t>
      </w:r>
    </w:p>
    <w:p>
      <w:pPr>
        <w:numPr>
          <w:ilvl w:val="0"/>
          <w:numId w:val="6"/>
        </w:numPr>
        <w:spacing w:lineRule="auto"/>
      </w:pPr>
      <w:r>
        <w:rPr/>
        <w:t xml:space="preserve">KPI-06 Lokaal ≥30%: E-05</w:t>
      </w:r>
    </w:p>
    <w:p>
      <w:pPr>
        <w:numPr>
          <w:ilvl w:val="0"/>
          <w:numId w:val="6"/>
        </w:numPr>
        <w:spacing w:lineRule="auto"/>
      </w:pPr>
      <w:r>
        <w:rPr/>
        <w:t xml:space="preserve">KPI-07 Zero-waste: E-05 (verpakkingsinkoop), E-09 (controlelijst)</w:t>
      </w:r>
    </w:p>
    <w:p>
      <w:pPr>
        <w:numPr>
          <w:ilvl w:val="0"/>
          <w:numId w:val="6"/>
        </w:numPr>
        <w:spacing w:lineRule="auto"/>
      </w:pPr>
      <w:r>
        <w:rPr/>
        <w:t xml:space="preserve">KPI-09 Uptime: E-04, E-11</w:t>
      </w:r>
    </w:p>
    <w:p>
      <w:pPr>
        <w:numPr>
          <w:ilvl w:val="0"/>
          <w:numId w:val="6"/>
        </w:numPr>
        <w:spacing w:lineRule="auto"/>
      </w:pPr>
      <w:r>
        <w:rPr/>
        <w:t xml:space="preserve">KPI-10 AVG-incidenten: E-10</w:t>
      </w:r>
    </w:p>
    <w:p>
      <w:pPr>
        <w:numPr>
          <w:ilvl w:val="0"/>
          <w:numId w:val="6"/>
        </w:numPr>
        <w:spacing w:lineRule="auto"/>
      </w:pPr>
      <w:r>
        <w:rPr/>
        <w:t xml:space="preserve">KPI-11 Temperatuur: E-02</w:t>
      </w:r>
    </w:p>
    <w:p>
      <w:pPr>
        <w:spacing w:lineRule="auto"/>
      </w:pPr>
      <w:r>
        <w:rPr/>
        <w:t xml:space="preserve">Preventieve trainingen (SMART)</w:t>
      </w:r>
    </w:p>
    <w:p>
      <w:pPr>
        <w:numPr>
          <w:ilvl w:val="0"/>
          <w:numId w:val="7"/>
        </w:numPr>
        <w:spacing w:lineRule="auto"/>
      </w:pPr>
      <w:r>
        <w:rPr/>
        <w:t xml:space="preserve">Allergenen en HACCP: 100% van productiemedewerkers en chauffeurs getraind binnen 30 dagen pre-start; herhaling 2x/jaar; aanwezigheid ≥95% (E-12).</w:t>
      </w:r>
    </w:p>
    <w:p>
      <w:pPr>
        <w:numPr>
          <w:ilvl w:val="0"/>
          <w:numId w:val="7"/>
        </w:numPr>
        <w:spacing w:lineRule="auto"/>
      </w:pPr>
      <w:r>
        <w:rPr/>
        <w:t xml:space="preserve">Zero-waste en portionering: 100% keukenteam binnen 30 dagen; KPI-04 meetbare daling ≥0,5%-punt binnen 60 dagen (E-07).</w:t>
      </w:r>
    </w:p>
    <w:p>
      <w:pPr>
        <w:numPr>
          <w:ilvl w:val="0"/>
          <w:numId w:val="7"/>
        </w:numPr>
        <w:spacing w:lineRule="auto"/>
      </w:pPr>
      <w:r>
        <w:rPr/>
        <w:t xml:space="preserve">IT en privacy: 100% gebruikers met dieetprofieltoegang volgen e-learning en toets ≥80% score, binnen 15 dagen pre-start (E-12, E-10).</w:t>
      </w:r>
    </w:p>
    <w:p>
      <w:pPr>
        <w:spacing w:lineRule="auto"/>
      </w:pPr>
      <w:r>
        <w:rPr/>
        <w:t xml:space="preserve">Continuïteit en uitwijk</w:t>
      </w:r>
    </w:p>
    <w:p>
      <w:pPr>
        <w:numPr>
          <w:ilvl w:val="0"/>
          <w:numId w:val="8"/>
        </w:numPr>
        <w:spacing w:lineRule="auto"/>
      </w:pPr>
      <w:r>
        <w:rPr/>
        <w:t xml:space="preserve">BCM: uitwijkkeuken binnen MRA met capaciteit 300 couverts, opschaalbaar naar 600 binnen 24 uur; failoverprocedure getest 1x per kwartaal (E-14).</w:t>
      </w:r>
    </w:p>
    <w:p>
      <w:pPr>
        <w:numPr>
          <w:ilvl w:val="0"/>
          <w:numId w:val="8"/>
        </w:numPr>
        <w:spacing w:lineRule="auto"/>
      </w:pPr>
      <w:r>
        <w:rPr/>
        <w:t xml:space="preserve">Leverancierscontinuïteit: contractuele servicelevels met boeteclausules voor kritische SKU’s (E-15).</w:t>
      </w:r>
    </w:p>
    <w:p>
      <w:pPr>
        <w:spacing w:lineRule="auto"/>
      </w:pPr>
      <w:r>
        <w:rPr/>
        <w:t xml:space="preserve">Rollen en eigenaarschap</w:t>
      </w:r>
    </w:p>
    <w:p>
      <w:pPr>
        <w:numPr>
          <w:ilvl w:val="0"/>
          <w:numId w:val="9"/>
        </w:numPr>
        <w:spacing w:lineRule="auto"/>
      </w:pPr>
      <w:r>
        <w:rPr/>
        <w:t xml:space="preserve">Logistiek Manager: W-06, W-09, KPI-01/11</w:t>
      </w:r>
    </w:p>
    <w:p>
      <w:pPr>
        <w:numPr>
          <w:ilvl w:val="0"/>
          <w:numId w:val="9"/>
        </w:numPr>
        <w:spacing w:lineRule="auto"/>
      </w:pPr>
      <w:r>
        <w:rPr/>
        <w:t xml:space="preserve">Kwaliteitsmanager Voedselveiligheid: W-03, W-05, W-10, KPI-03/11</w:t>
      </w:r>
    </w:p>
    <w:p>
      <w:pPr>
        <w:numPr>
          <w:ilvl w:val="0"/>
          <w:numId w:val="9"/>
        </w:numPr>
        <w:spacing w:lineRule="auto"/>
      </w:pPr>
      <w:r>
        <w:rPr/>
        <w:t xml:space="preserve">IT Lead: W-04, W-12, KPI-09/10</w:t>
      </w:r>
    </w:p>
    <w:p>
      <w:pPr>
        <w:numPr>
          <w:ilvl w:val="0"/>
          <w:numId w:val="9"/>
        </w:numPr>
        <w:spacing w:lineRule="auto"/>
      </w:pPr>
      <w:r>
        <w:rPr/>
        <w:t xml:space="preserve">Inkoopmanager: W-02, W-11, KPI-05/06/07</w:t>
      </w:r>
    </w:p>
    <w:p>
      <w:pPr>
        <w:numPr>
          <w:ilvl w:val="0"/>
          <w:numId w:val="9"/>
        </w:numPr>
        <w:spacing w:lineRule="auto"/>
      </w:pPr>
      <w:r>
        <w:rPr/>
        <w:t xml:space="preserve">Chef Productie: W-05, W-07, KPI-04/11</w:t>
      </w:r>
    </w:p>
    <w:p>
      <w:pPr>
        <w:numPr>
          <w:ilvl w:val="0"/>
          <w:numId w:val="9"/>
        </w:numPr>
        <w:spacing w:lineRule="auto"/>
      </w:pPr>
      <w:r>
        <w:rPr/>
        <w:t xml:space="preserve">Duurzaamheidscoördinator: W-02, W-07, KPI-06/07</w:t>
      </w:r>
    </w:p>
    <w:p>
      <w:pPr>
        <w:numPr>
          <w:ilvl w:val="0"/>
          <w:numId w:val="9"/>
        </w:numPr>
        <w:spacing w:lineRule="auto"/>
      </w:pPr>
      <w:r>
        <w:rPr/>
        <w:t xml:space="preserve">Servicemanager: W-08, KPI-02/08</w:t>
      </w:r>
    </w:p>
    <w:p>
      <w:pPr>
        <w:numPr>
          <w:ilvl w:val="0"/>
          <w:numId w:val="9"/>
        </w:numPr>
        <w:spacing w:lineRule="auto"/>
      </w:pPr>
      <w:r>
        <w:rPr/>
        <w:t xml:space="preserve">Operations Manager: integrale PDCA, KPI-portfolio</w:t>
      </w:r>
    </w:p>
    <w:p>
      <w:pPr>
        <w:spacing w:lineRule="auto"/>
      </w:pPr>
      <w:r>
        <w:rPr/>
        <w:t xml:space="preserve">SMART-rapportageafspraken met opdrachtgever</w:t>
      </w:r>
    </w:p>
    <w:p>
      <w:pPr>
        <w:numPr>
          <w:ilvl w:val="0"/>
          <w:numId w:val="10"/>
        </w:numPr>
        <w:spacing w:lineRule="auto"/>
      </w:pPr>
      <w:r>
        <w:rPr/>
        <w:t xml:space="preserve">SLA-rapportage: maandelijks, binnen 5 werkdagen na maandafsluiting, met KPI-01 t/m KPI-11, inclusief E-xx bijlagen.</w:t>
      </w:r>
    </w:p>
    <w:p>
      <w:pPr>
        <w:numPr>
          <w:ilvl w:val="0"/>
          <w:numId w:val="10"/>
        </w:numPr>
        <w:spacing w:lineRule="auto"/>
      </w:pPr>
      <w:r>
        <w:rPr/>
        <w:t xml:space="preserve">Incidentmelding: direct (≤2 uur) bij allergenen/temperatuur/AVG; voorlopige RCA binnen 24 uur; definitieve CAPA binnen 5 werkdagen.</w:t>
      </w:r>
    </w:p>
    <w:p>
      <w:pPr>
        <w:numPr>
          <w:ilvl w:val="0"/>
          <w:numId w:val="10"/>
        </w:numPr>
        <w:spacing w:lineRule="auto"/>
      </w:pPr>
      <w:r>
        <w:rPr/>
        <w:t xml:space="preserve">Verbeterinitiatieven: minimaal 2 per kwartaal met gekwantificeerde impact (bijv. -0,5%-punt foodwaste of +0,2 OTD).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Risicoregister</dc:title>
  <dc:subject/>
  <dc:creator>html-to-docx</dc:creator>
  <cp:keywords>html-to-docx</cp:keywords>
  <dc:description/>
  <cp:lastModifiedBy>html-to-docx</cp:lastModifiedBy>
  <cp:revision>1</cp:revision>
  <dcterms:created xsi:type="dcterms:W3CDTF">2025-11-04T09:44:49.248Z</dcterms:created>
  <dcterms:modified xsi:type="dcterms:W3CDTF">2025-11-04T09:44:49.248Z</dcterms:modified>
</cp:coreProperties>
</file>