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1A5632"/>
          <w:sz w:val="52"/>
          <w:szCs w:val="52"/>
        </w:rPr>
        <w:t xml:space="preserve">CAHIER DES CHARGES</w:t>
      </w:r>
    </w:p>
    <w:p>
      <w:pPr>
        <w:spacing w:after="240"/>
        <w:jc w:val="center"/>
      </w:pPr>
      <w:r>
        <w:rPr>
          <w:b/>
          <w:bCs/>
          <w:color w:val="1B3A5C"/>
          <w:sz w:val="72"/>
          <w:szCs w:val="72"/>
        </w:rPr>
        <w:t xml:space="preserve">BudgetPAD</w:t>
      </w:r>
    </w:p>
    <w:p>
      <w:pPr>
        <w:spacing w:after="120"/>
        <w:jc w:val="center"/>
      </w:pPr>
      <w:r>
        <w:rPr>
          <w:color w:val="555555"/>
          <w:sz w:val="26"/>
          <w:szCs w:val="26"/>
        </w:rPr>
        <w:t xml:space="preserve">Application de suivi budgétaire et de gestion des achats</w:t>
      </w:r>
    </w:p>
    <w:p>
      <w:pPr>
        <w:spacing w:after="600"/>
        <w:jc w:val="center"/>
      </w:pPr>
      <w:r>
        <w:rPr>
          <w:color w:val="555555"/>
          <w:sz w:val="24"/>
          <w:szCs w:val="24"/>
        </w:rPr>
        <w:t xml:space="preserve">Direction des Ressources Humaines — Port Autonome de Douala (PAD)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1.0 — état actuel de l’application (juin 2026)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Maîtrise d’ouvrage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Direction des Ressources Humaines du PAD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Encadrement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Abdul Aziz Njikam Nfomou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Réalisation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Dylan Caprel Ngando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Dépôt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https://github.com/dylan-caprel/BudgetPad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A5632"/>
          <w:sz w:val="30"/>
          <w:szCs w:val="30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 du document</w:t>
      </w:r>
    </w:p>
    <w:p>
      <w:pPr>
        <w:spacing w:after="120"/>
        <w:jc w:val="both"/>
      </w:pPr>
      <w:r>
        <w:t xml:space="preserve">Le présent cahier des charges décrit les besoins fonctionnels et non fonctionnels couverts par l’application BudgetPAD dans son état actuel. Il sert de référence contractuelle et académique : périmètre, acteurs, exigences, règles de gestion, architecture, données reprises, critères de recette et évolutions prévues.</w:t>
      </w:r>
    </w:p>
    <w:p>
      <w:pPr>
        <w:pStyle w:val="Heading1"/>
      </w:pPr>
      <w:r>
        <w:t xml:space="preserve">2. Contexte et problématique</w:t>
      </w:r>
    </w:p>
    <w:p>
      <w:pPr>
        <w:pStyle w:val="Heading2"/>
      </w:pPr>
      <w:r>
        <w:t xml:space="preserve">2.1 Contexte</w:t>
      </w:r>
    </w:p>
    <w:p>
      <w:pPr>
        <w:spacing w:after="120"/>
        <w:jc w:val="both"/>
      </w:pPr>
      <w:r>
        <w:t xml:space="preserve">Le Port Autonome de Douala (PAD) est l’autorité portuaire du port de Douala-Bonabéri, principal port du Cameroun. Sa Direction des Ressources Humaines (DRH) gère un budget annuel de fonctionnement et d’investissement réparti en tâches budgétaires (activités) elles-mêmes décomposées en lignes budgétaires (codes nature comptables).</w:t>
      </w:r>
    </w:p>
    <w:p>
      <w:pPr>
        <w:spacing w:after="120"/>
        <w:jc w:val="both"/>
      </w:pPr>
      <w:r>
        <w:t xml:space="preserve">L’exécution de ce budget passe par deux canaux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</w:t>
      </w:r>
      <w:r>
        <w:rPr>
          <w:b/>
          <w:bCs/>
        </w:rPr>
        <w:t xml:space="preserve">chaîne d’achat</w:t>
      </w:r>
      <w:r>
        <w:t xml:space="preserve"> : journal de programmation → demande d’achat (DA) → consultation de prestataires (offres) → bon de commande (BC) → imputation budgétaire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</w:t>
      </w:r>
      <w:r>
        <w:rPr>
          <w:b/>
          <w:bCs/>
        </w:rPr>
        <w:t xml:space="preserve">consommations directes</w:t>
      </w:r>
      <w:r>
        <w:t xml:space="preserve"> (dépenses sans bon de commande : achats directs, assistance sociale, urgences), soumises à l’avis préalable CAPRI de la DCG.</w:t>
      </w:r>
    </w:p>
    <w:p>
      <w:pPr>
        <w:pStyle w:val="Heading2"/>
      </w:pPr>
      <w:r>
        <w:t xml:space="preserve">2.2 Problématique</w:t>
      </w:r>
    </w:p>
    <w:p>
      <w:pPr>
        <w:spacing w:after="120"/>
        <w:jc w:val="both"/>
      </w:pPr>
      <w:r>
        <w:t xml:space="preserve">Avant BudgetPAD, le suivi reposait sur des documents bureautiques dispersés (classeurs Excel « JP-BC », états PDF « Suivi détaillé des tâches », courriers)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 de vision consolidée en temps réel des soldes et taux de consommation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ressaisies multiples et risque d’écart entre le journal, les DA, les BC et le suivi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contrôles manuels des règles métier (solde disponible, avis CAPRI, exercice clôturé)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absence de traçabilité opposable des actions (qui a validé quoi, quand)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consolidation laborieuse pour les bilans périodiques et annuels.</w:t>
      </w:r>
    </w:p>
    <w:p>
      <w:pPr>
        <w:pStyle w:val="Heading2"/>
      </w:pPr>
      <w:r>
        <w:t xml:space="preserve">2.3 Solution retenue</w:t>
      </w:r>
    </w:p>
    <w:p>
      <w:pPr>
        <w:spacing w:after="120"/>
        <w:jc w:val="both"/>
      </w:pPr>
      <w:r>
        <w:t xml:space="preserve">Une application web interne mono-direction (DRH), centralisant le référentiel budgétaire, la chaîne d’achat au format réel des documents PAD, les contrôles automatiques des règles de gestion et la restitution (tableaux de bord, bilans, exports).</w:t>
      </w:r>
    </w:p>
    <w:p>
      <w:pPr>
        <w:pStyle w:val="Heading1"/>
      </w:pPr>
      <w:r>
        <w:t xml:space="preserve">3. Objectifs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1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Objectif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Indicateur de réussite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Centraliser le référentiel budgétaire (exercices, tâches, lignes)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Reprise des données réelles 2026 sans écart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Dématérialiser la chaîne d’achat DA → Offres → BC au format PAD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Numérotation DAC{AAMM}DLA{NNNNN} / STD{AAMM}DLA{NNNNN}, PDF de BC conforme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Fiabiliser l’exécution par des contrôles automatiques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Blocage solde insuffisant, CAPRI obligatoire, exercice verrouillé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Garantir la traçabilité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Journal d’activité immuable chaîné SHA-256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Restituer l’information décisionnelle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Tableau de bord, bilans périodiques, exports CSV/PDF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Sécuriser les accès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Rôles, anti-force brute, changement de mot de passe forcé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Périmètre</w:t>
      </w:r>
    </w:p>
    <w:p>
      <w:pPr>
        <w:pStyle w:val="Heading2"/>
      </w:pPr>
      <w:r>
        <w:t xml:space="preserve">4.1 Inclus (état actuel)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Exercices budgétaires</w:t>
      </w:r>
      <w:r>
        <w:t xml:space="preserve"> : création (assistant en 4 étapes), activation exclusive, clôture, reconduction (copie de structure montants à zéro), répertoire de tâches/lignes réutilisable.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Tâches et lignes budgétaires</w:t>
      </w:r>
      <w:r>
        <w:t xml:space="preserve"> (budgets initiaux, agrégats calculés).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Virements budgétaires</w:t>
      </w:r>
      <w:r>
        <w:t xml:space="preserve"> entre lignes (transferts + / −) avec motif et traçabilité.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Journal de programmation (JP-BC)</w:t>
      </w:r>
      <w:r>
        <w:t xml:space="preserve"> : plan annuel des prestations par BC (période quadrimestre/pentamestre, priorité 1/2, nature APPRO / Travaux / Prestations intellectuelles), génération d’une DA pré-remplie depuis une prestation.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Demandes d’achat</w:t>
      </w:r>
      <w:r>
        <w:t xml:space="preserve"> : cycle de vie complet, pièces jointes, contrôle du solde.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Offres prestataires</w:t>
      </w:r>
      <w:r>
        <w:t xml:space="preserve"> : sollicitation, saisie, retenue/refus.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Bons de commande</w:t>
      </w:r>
      <w:r>
        <w:t xml:space="preserve"> : format réel PAD (objet, articles, CAPRI, conditions de paiement, RIB, délai en semaines), transitions d’état, prolongation motivée, PDF officiel, imputations budgétaires.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Consommations directes</w:t>
      </w:r>
      <w:r>
        <w:t xml:space="preserve"> : module dédié (saisie avec CAPRI et pièce jointe, édition réservée à l’administrateur, annulation motivée avec restitution du budget).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Bilans</w:t>
      </w:r>
      <w:r>
        <w:t xml:space="preserve"> : indicateurs globaux, par tâche et par ligne, périodes annuelle / trimestrielle / mensuelle / personnalisée, exports CSV et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Prestataires</w:t>
      </w:r>
      <w:r>
        <w:t xml:space="preserve"> : référentiel fournisseurs.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Journal d’activité</w:t>
      </w:r>
      <w:r>
        <w:t xml:space="preserve"> : historique immuable signé (chaîne de hachage SHA-256).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t xml:space="preserve"> internes par rôle (badge temps réel) ; </w:t>
      </w:r>
      <w:r>
        <w:rPr>
          <w:b/>
          <w:bCs/>
        </w:rPr>
        <w:t xml:space="preserve">recherche globale</w:t>
      </w:r>
      <w:r>
        <w:t xml:space="preserve"> transverse.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Administration</w:t>
      </w:r>
      <w:r>
        <w:t xml:space="preserve"> : comptes et rôles, réinitialisation de mot de passe, activation/désactivation, paramètres, export RGPD.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Reprise des données réelles 2026</w:t>
      </w:r>
      <w:r>
        <w:t xml:space="preserve"> : commande de chargement embarquant les données officielles.</w:t>
      </w:r>
    </w:p>
    <w:p>
      <w:pPr>
        <w:pStyle w:val="Heading2"/>
      </w:pPr>
      <w:r>
        <w:t xml:space="preserve">4.2 Exclu (hors périmètre actuel)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Multi-directions (l’outil est mono-DRH ; le rôle « DAG » a été retiré).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Interfaçage temps réel avec les SI comptables/financiers du PAD (reprise par import des états officiels).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Signature électronique des documents.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mobile native (l’interface web est responsive).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Gestion de la paie ou des marchés publics au-delà du bon de commande.</w:t>
      </w:r>
    </w:p>
    <w:p>
      <w:pPr>
        <w:pStyle w:val="Heading1"/>
      </w:pPr>
      <w:r>
        <w:t xml:space="preserve">5. Acteurs et rôles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226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Droits principaux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Administrateur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admin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Tous droits : édition globale (codes/libellés des lignes, prestations du journal, consommations), annulations, gestion des utilisateurs, paramètres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Directeur DRH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directeur_drh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Validation des DA, virements, consultation globale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Chef de service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chef_service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Création et suivi des DA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Assistante DRH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assistante_drh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Saisie des DA, consommations, tâches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Lecteur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lecteur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Consultation seule (auditeur, contrôle)</w:t>
            </w:r>
          </w:p>
        </w:tc>
      </w:tr>
    </w:tbl>
    <w:p>
      <w:pPr>
        <w:spacing w:after="140"/>
      </w:pPr>
    </w:p>
    <w:p>
      <w:pPr>
        <w:spacing w:after="120"/>
        <w:jc w:val="both"/>
      </w:pPr>
      <w:r>
        <w:t xml:space="preserve">Principes : tout utilisateur est authentifié ; </w:t>
      </w:r>
      <w:r>
        <w:rPr>
          <w:rFonts w:ascii="Consolas" w:cs="Consolas" w:eastAsia="Consolas" w:hAnsi="Consolas"/>
          <w:color w:val="1B3A5C"/>
          <w:sz w:val="18"/>
          <w:szCs w:val="18"/>
        </w:rPr>
        <w:t xml:space="preserve">admin</w:t>
      </w:r>
      <w:r>
        <w:t xml:space="preserve"> hérite de tous les droits ; les actions d’écriture sont contrôlées par décorateur de rôle côté serveur (le masquage des boutons côté interface n’est qu’un confort).</w:t>
      </w:r>
    </w:p>
    <w:p>
      <w:r>
        <w:br w:type="page"/>
      </w:r>
    </w:p>
    <w:p>
      <w:pPr>
        <w:pStyle w:val="Heading1"/>
      </w:pPr>
      <w:r>
        <w:t xml:space="preserve">6. Exigences fonctionnelles</w:t>
      </w:r>
    </w:p>
    <w:p>
      <w:pPr>
        <w:spacing w:after="120"/>
        <w:jc w:val="both"/>
      </w:pPr>
      <w:r>
        <w:t xml:space="preserve">Notation : </w:t>
      </w:r>
      <w:r>
        <w:rPr>
          <w:b/>
          <w:bCs/>
        </w:rPr>
        <w:t xml:space="preserve">EF-x.y</w:t>
      </w:r>
      <w:r>
        <w:t xml:space="preserve"> = exigence fonctionnelle ; toutes les exigences listées sont </w:t>
      </w:r>
      <w:r>
        <w:rPr>
          <w:b/>
          <w:bCs/>
        </w:rPr>
        <w:t xml:space="preserve">implémentées</w:t>
      </w:r>
      <w:r>
        <w:t xml:space="preserve"> dans l’état actuel.</w:t>
      </w:r>
    </w:p>
    <w:p>
      <w:pPr>
        <w:pStyle w:val="Heading2"/>
      </w:pPr>
      <w:r>
        <w:t xml:space="preserve">6.1 Authentification et comptes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EF-1.1 </w:t>
      </w:r>
      <w:r>
        <w:t xml:space="preserve">Connexion par identifiant/mot de passe ; déconnexion.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EF-1.2 </w:t>
      </w:r>
      <w:r>
        <w:t xml:space="preserve">Verrouillage anti-force brute : 5 échecs → blocage 1 h (couple IP + compte), réinitialisé en cas de succès.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EF-1.3 </w:t>
      </w:r>
      <w:r>
        <w:t xml:space="preserve">Changement de mot de passe forcé à la première connexion ou après réinitialisation (middleware bloquant).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EF-1.4 </w:t>
      </w:r>
      <w:r>
        <w:t xml:space="preserve">Gestion des comptes par l’admin : création, modification, rôle, activation/désactivation, réinitialisation, suppression.</w:t>
      </w:r>
    </w:p>
    <w:p>
      <w:pPr>
        <w:pStyle w:val="Heading2"/>
      </w:pPr>
      <w:r>
        <w:t xml:space="preserve">6.2 Exercices budgétaires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EF-2.1 </w:t>
      </w:r>
      <w:r>
        <w:t xml:space="preserve">Création via un assistant en 4 étapes (année/dates → tâches → lignes/budgets → récapitulatif), avec préservation des saisies entre étapes.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EF-2.2 </w:t>
      </w:r>
      <w:r>
        <w:t xml:space="preserve">Activation exclusive : activer un exercice désactive automatiquement tous les autres (règle R7), protégée contre les accès concurrents.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EF-2.3 </w:t>
      </w:r>
      <w:r>
        <w:t xml:space="preserve">Clôture définitive : l’exercice passe en lecture seule.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EF-2.4 </w:t>
      </w:r>
      <w:r>
        <w:t xml:space="preserve">Reconduction : création de l’exercice N+1 par copie des tâches/lignes actives, montants à zéro.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EF-2.5 </w:t>
      </w:r>
      <w:r>
        <w:t xml:space="preserve">Répertoire réutilisable de tâches/lignes pour accélérer la création d’exercices.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EF-2.6 </w:t>
      </w:r>
      <w:r>
        <w:t xml:space="preserve">Sélecteur d’exercice courant (consultation des exercices passés).</w:t>
      </w:r>
    </w:p>
    <w:p>
      <w:pPr>
        <w:pStyle w:val="Heading2"/>
      </w:pPr>
      <w:r>
        <w:t xml:space="preserve">6.3 Tâches et lignes budgétaires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EF-3.1 </w:t>
      </w:r>
      <w:r>
        <w:t xml:space="preserve">CRUD des tâches (numéro unique par exercice, titre) et de leurs lignes (code nature, libellé, budget initial ≥ 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EF-3.2 </w:t>
      </w:r>
      <w:r>
        <w:t xml:space="preserve">Agrégats calculés par ligne et par tâche : transferts + / −, budget ajusté, consommation (BC + directes), solde, taux.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EF-3.3 </w:t>
      </w:r>
      <w:r>
        <w:t xml:space="preserve">Seuils d’alerte visuels : ≥ 70 % avertissement, ≥ 90 % danger ; notification au dépassement du seuil paramétré.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EF-3.4 </w:t>
      </w:r>
      <w:r>
        <w:t xml:space="preserve">L’admin peut modifier le code et le libellé d’une ligne ; saisie tolérante des montants au format français.</w:t>
      </w:r>
    </w:p>
    <w:p>
      <w:pPr>
        <w:pStyle w:val="Heading2"/>
      </w:pPr>
      <w:r>
        <w:t xml:space="preserve">6.4 Virements budgétaires (transferts)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EF-4.1 </w:t>
      </w:r>
      <w:r>
        <w:t xml:space="preserve">Virement d’une ligne source vers une ligne destination (distinctes), motif obligatoire.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EF-4.2 </w:t>
      </w:r>
      <w:r>
        <w:t xml:space="preserve">Contrôle du solde disponible de la ligne source avant exécution.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EF-4.3 </w:t>
      </w:r>
      <w:r>
        <w:t xml:space="preserve">Annulation par l’admin : virement inverse motivé (traçabilité préservée), sous réserve du solde de la destination.</w:t>
      </w:r>
    </w:p>
    <w:p>
      <w:pPr>
        <w:pStyle w:val="Heading2"/>
      </w:pPr>
      <w:r>
        <w:t xml:space="preserve">6.5 Journal de programmation (JP-BC)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EF-5.1 </w:t>
      </w:r>
      <w:r>
        <w:t xml:space="preserve">Registre annuel des prestations au format officiel : n° d’ordre, tâche, code nature, objet, nature, montant HT, budget prévisionnel, période d’engagement, priorité, statut.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EF-5.2 </w:t>
      </w:r>
      <w:r>
        <w:t xml:space="preserve">Indicateurs (totaux, répartition par statut, budget prévisionnel, HT planifié) et filtres période/priorité/statut.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EF-5.3 </w:t>
      </w:r>
      <w:r>
        <w:t xml:space="preserve">Génération d’une DA pré-remplie depuis une prestation disponible (liaison conservée, prestation passée « en cours 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EF-5.4 </w:t>
      </w:r>
      <w:r>
        <w:t xml:space="preserve">CRUD des prestations réservé à l’admin, via panneau latéral (offcanvas) ; lecture seule pour les autres rôles.</w:t>
      </w:r>
    </w:p>
    <w:p>
      <w:pPr>
        <w:pStyle w:val="Heading2"/>
      </w:pPr>
      <w:r>
        <w:t xml:space="preserve">6.6 Demandes d’achat (DA)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EF-6.1 </w:t>
      </w:r>
      <w:r>
        <w:t xml:space="preserve">Cycle de vie : Créée → Transmise DAG → Validée → BC créé, avec Annulée possible depuis Créée/Transmise (motif obligatoire) ; transitions contrôlées par machine à états.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EF-6.2 </w:t>
      </w:r>
      <w:r>
        <w:t xml:space="preserve">Référence auto-générée au format PAD DAC{AAMM}DLA{NNNNN} (séquence mensuelle atomique).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EF-6.3 </w:t>
      </w:r>
      <w:r>
        <w:t xml:space="preserve">Saisie : ligne budgétaire d’imputation, objet, montant estimé, nature de prestation, période d’engagement, priorité.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EF-6.4 </w:t>
      </w:r>
      <w:r>
        <w:t xml:space="preserve">Contrôle du solde disponible à la création et à la modification.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EF-6.5 </w:t>
      </w:r>
      <w:r>
        <w:t xml:space="preserve">Validation conditionnée à une pièce jointe probante (facture proforma ou DA signée).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EF-6.6 </w:t>
      </w:r>
      <w:r>
        <w:t xml:space="preserve">Pièces jointes multiples typées avec titre personnalisé ; notification des valideurs à la création.</w:t>
      </w:r>
    </w:p>
    <w:p>
      <w:pPr>
        <w:pStyle w:val="Heading2"/>
      </w:pPr>
      <w:r>
        <w:t xml:space="preserve">6.7 Offres et prestataires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EF-7.1 </w:t>
      </w:r>
      <w:r>
        <w:t xml:space="preserve">Référentiel prestataires (code auto PREST-NNN, coordonnées) avec CRUD.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EF-7.2 </w:t>
      </w:r>
      <w:r>
        <w:t xml:space="preserve">Sollicitation d’offres sur une DA, saisie des montants, retenue d’une offre (les autres refusées), refus motivé.</w:t>
      </w:r>
    </w:p>
    <w:p>
      <w:pPr>
        <w:pStyle w:val="Heading2"/>
      </w:pPr>
      <w:r>
        <w:t xml:space="preserve">6.8 Bons de commande (BC)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EF-8.1 </w:t>
      </w:r>
      <w:r>
        <w:t xml:space="preserve">Numéro auto au format PAD STD{AAMM}DLA{NNNNN} (séquence mensuelle atomique, resynchronisation après import).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EF-8.2 </w:t>
      </w:r>
      <w:r>
        <w:t xml:space="preserve">Contenu conforme au document officiel : prestataire, objet, articles (référence, désignation, unité, quantité, PU HT), TVA 19,25 %, totaux HT/TVA/TTC, conditions de paiement, RIB, délai en semaines, notification, échéance calculée.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EF-8.3 </w:t>
      </w:r>
      <w:r>
        <w:t xml:space="preserve">Avis CAPRI (n° + date) obligatoire à la création/modification (règle R11) ; badge « à régulariser » sur l’existant incomplet.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EF-8.4 </w:t>
      </w:r>
      <w:r>
        <w:t xml:space="preserve">Transitions : créé → notifié → en cours → exécuté ; annulation motivée ; un BC exécuté est immuable (règle R3).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EF-8.5 </w:t>
      </w:r>
      <w:r>
        <w:t xml:space="preserve">Imputations budgétaires du BC sur les lignes (consommation TTC).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EF-8.6 </w:t>
      </w:r>
      <w:r>
        <w:t xml:space="preserve">Prolongation d’échéance motivée avec historique.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EF-8.7 </w:t>
      </w:r>
      <w:r>
        <w:t xml:space="preserve">Édition PDF du BC au gabarit officiel PAD (bilingue, charte graphique).</w:t>
      </w:r>
    </w:p>
    <w:p>
      <w:pPr>
        <w:pStyle w:val="Heading2"/>
      </w:pPr>
      <w:r>
        <w:t xml:space="preserve">6.9 Consommations directes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EF-9.1 </w:t>
      </w:r>
      <w:r>
        <w:t xml:space="preserve">Module dédié : registre filtrable (statut, tâche), indicateurs (actives, annulées, montant, CAPRI à régulariser).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EF-9.2 </w:t>
      </w:r>
      <w:r>
        <w:t xml:space="preserve">Saisie : ligne budgétaire, montant, motif typé, description, date, CAPRI obligatoire, pièce jointe facultative (validée : ≤ 10 Mo, extension et contenu).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EF-9.3 </w:t>
      </w:r>
      <w:r>
        <w:t xml:space="preserve">Contrôle du solde disponible à la création ET à la modification (réintégration de l’ancien montant).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EF-9.4 </w:t>
      </w:r>
      <w:r>
        <w:t xml:space="preserve">Édition réservée à l’admin via offcanvas ; lecture seule sinon ; une consommation annulée n’est plus modifiable.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EF-9.5 </w:t>
      </w:r>
      <w:r>
        <w:t xml:space="preserve">Annulation par l’admin avec motif (≥ 5 caractères) : conservation en base (soft-delete), restitution du budget, traçabilité.</w:t>
      </w:r>
    </w:p>
    <w:p>
      <w:pPr>
        <w:pStyle w:val="Heading2"/>
      </w:pPr>
      <w:r>
        <w:t xml:space="preserve">6.10 Bilans et restitution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EF-10.1 </w:t>
      </w:r>
      <w:r>
        <w:t xml:space="preserve">Tableau de bord : budget global, total engagé (BC + consommations directes), solde, taux, top 5 des tâches, répartition des BC par statut, BC en retard / à échéance ≤ 7 jours, alertes.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EF-10.2 </w:t>
      </w:r>
      <w:r>
        <w:t xml:space="preserve">Bilans périodiques : année, trimestre, mois ou période personnalisée ; indicateurs globaux, top 10 tâches, détail des engagements par BC.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EF-10.3 </w:t>
      </w:r>
      <w:r>
        <w:t xml:space="preserve">Exports : CSV (suivi détaillé par tâche/ligne) et PDF (état périodique au gabarit officiel).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EF-10.4 </w:t>
      </w:r>
      <w:r>
        <w:t xml:space="preserve">Détail des engagements (journal des imputations par BC).</w:t>
      </w:r>
    </w:p>
    <w:p>
      <w:pPr>
        <w:pStyle w:val="Heading2"/>
      </w:pPr>
      <w:r>
        <w:t xml:space="preserve">6.11 Traçabilité, notifications, transverse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EF-11.1 </w:t>
      </w:r>
      <w:r>
        <w:t xml:space="preserve">Journal d’activité immuable : chaque action sensible est consignée et chaînée par hachage SHA-256 ; commandes de vérification et de reconstruction de la chaîne.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EF-11.2 </w:t>
      </w:r>
      <w:r>
        <w:t xml:space="preserve">Notifications internes ciblées par rôle (ex. DA à valider) avec badge non-lu et marquage groupé.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EF-11.3 </w:t>
      </w:r>
      <w:r>
        <w:t xml:space="preserve">Recherche globale (tâches, lignes, DA, BC, prestataires).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EF-11.4 </w:t>
      </w:r>
      <w:r>
        <w:t xml:space="preserve">Export RGPD des données personnelles d’un utilisateur.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EF-11.5 </w:t>
      </w:r>
      <w:r>
        <w:t xml:space="preserve">Reprise des données réelles : commande seed_real_data (options --reset, --flush) chargeant l’exercice 2026 officiel avec comptes de démonstration.</w:t>
      </w:r>
    </w:p>
    <w:p>
      <w:r>
        <w:br w:type="page"/>
      </w:r>
    </w:p>
    <w:p>
      <w:pPr>
        <w:pStyle w:val="Heading1"/>
      </w:pPr>
      <w:r>
        <w:t xml:space="preserve">7. Règles de gestion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400"/>
        <w:gridCol w:w="3526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Règle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Application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Une imputation (DA, BC, consommation, virement) ne peut excéder le solde disponible de la ligne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Contrôle bloquant à la saisie et à la modification (service centralisé)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 BC exécuté est immuable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Transitions verrouillées par machine à états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 seul exercice actif à la fois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Activation exclusive atomique (verrou en base)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Aucune écriture sur un exercice clôturé/verrouillé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Contrôle centralisé dans toutes les vues d’écriture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R11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Tout engagement (BC, consommation directe) requiert un avis CAPRI préalable (n° + date)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Champs obligatoires ; badge « à régulariser » sur l’historique antérieur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RG-TVA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TVA au taux camerounais de 19,25 % ; TTC = HT × 1,1925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Calcul automatique sur BC et lignes d’articles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RG-Seuils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Alerte à 70 % (avertissement) et 90 % (danger) du taux de consommation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Code couleur + notifications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RG-Num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Numérotation officielle DAC{AAMM}DLA{NNNNN} (DA) et STD{AAMM}DLA{NNNNN} (BC), séquences mensuelles atomiques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Générateur avec verrou et resynchronisation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RG-Annul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Toute annulation (DA, BC, virement, consommation) exige un motif et reste tracée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Soft-delete / contre-écriture + journal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RG-PJ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Validation d’une DA conditionnée à une pièce probante ; fichiers contrôlés (10 Mo max, types autorisés, signature binaire)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Contrôle serveur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8. Exigences non fonctionnelles</w:t>
      </w:r>
    </w:p>
    <w:p>
      <w:pPr>
        <w:pStyle w:val="Heading2"/>
      </w:pPr>
      <w:r>
        <w:t xml:space="preserve">8.1 Sécurité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ENF-1.1 </w:t>
      </w:r>
      <w:r>
        <w:t xml:space="preserve">Authentification obligatoire ; contrôle des rôles côté serveur sur chaque action d’écriture.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ENF-1.2 </w:t>
      </w:r>
      <w:r>
        <w:t xml:space="preserve">Anti-force brute (django-axes) : 5 tentatives, blocage 1 h par IP + compte.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ENF-1.3 </w:t>
      </w:r>
      <w:r>
        <w:t xml:space="preserve">Changement de mot de passe forcé (première connexion / réinitialisation).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ENF-1.4 </w:t>
      </w:r>
      <w:r>
        <w:t xml:space="preserve">Protections Django : CSRF, échappement XSS, ORM exclusif (aucune requête SQL brute).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ENF-1.5 </w:t>
      </w:r>
      <w:r>
        <w:t xml:space="preserve">Profil production : DEBUG=False, clé secrète par variable d’environnement (démarrage refusé sinon), HTTPS forcé, HSTS 1 an, cookies Secure, nosniff, referrer-policy stricte.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ENF-1.6 </w:t>
      </w:r>
      <w:r>
        <w:t xml:space="preserve">Téléversements contrôlés (taille, extension, signature de contenu).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ENF-1.7 </w:t>
      </w:r>
      <w:r>
        <w:t xml:space="preserve">Journal d’audit infalsifiable (chaîne de hachage vérifiable).</w:t>
      </w:r>
    </w:p>
    <w:p>
      <w:pPr>
        <w:pStyle w:val="Heading2"/>
      </w:pPr>
      <w:r>
        <w:t xml:space="preserve">8.2 Performance et scalabilité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ENF-2.1 </w:t>
      </w:r>
      <w:r>
        <w:t xml:space="preserve">Agrégats budgétaires calculés en base par sous-requêtes corrélées (exactitude garantie, pas de produit cartésien).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ENF-2.2 </w:t>
      </w:r>
      <w:r>
        <w:t xml:space="preserve">Listes paginées (25 éléments ; journal 50).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ENF-2.3 </w:t>
      </w:r>
      <w:r>
        <w:t xml:space="preserve">Index de base de données sur les axes de filtrage — 9 index dédiés en plus des clés.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ENF-2.4 </w:t>
      </w:r>
      <w:r>
        <w:t xml:space="preserve">Absence de requêtes N+1 sur les écrans de liste et les exports.</w:t>
      </w:r>
    </w:p>
    <w:p>
      <w:pPr>
        <w:pStyle w:val="Heading2"/>
      </w:pPr>
      <w:r>
        <w:t xml:space="preserve">8.3 Ergonomie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ENF-3.1 </w:t>
      </w:r>
      <w:r>
        <w:t xml:space="preserve">Interface en français, responsive (Bootstrap 5), charte PAD (vert #1A5632, bleu marine #1B3A5C), logo officiel.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ENF-3.2 </w:t>
      </w:r>
      <w:r>
        <w:t xml:space="preserve">Navigation latérale par module ; recherche globale ; sélecteur d’exercice.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ENF-3.3 </w:t>
      </w:r>
      <w:r>
        <w:t xml:space="preserve">Consultation/édition contextuelle par panneaux latéraux et fenêtres modales ; messages explicites en français.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ENF-3.4 </w:t>
      </w:r>
      <w:r>
        <w:t xml:space="preserve">Formats locaux : montants FCFA avec séparateur de milliers, virgule décimale acceptée, dates jj/mm/aaaa.</w:t>
      </w:r>
    </w:p>
    <w:p>
      <w:pPr>
        <w:pStyle w:val="Heading2"/>
      </w:pPr>
      <w:r>
        <w:t xml:space="preserve">8.4 Maintenabilité et qualité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ENF-4.1 </w:t>
      </w:r>
      <w:r>
        <w:t xml:space="preserve">Architecture en couches : modèles (règles + agrégats), couche services (logique métier transactionnelle), vues, gabarits.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ENF-4.2 </w:t>
      </w:r>
      <w:r>
        <w:t xml:space="preserve">Suite de 65 tests automatisés (pytest) ; exécution sur base isolée.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ENF-4.3 </w:t>
      </w:r>
      <w:r>
        <w:t xml:space="preserve">Audit technique versionné : cartographie, dette, refactorings appliqués et backlog.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ENF-4.4 </w:t>
      </w:r>
      <w:r>
        <w:t xml:space="preserve">Documentation : README, guide d’installation (Markdown + Word), diagrammes de classes.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ENF-4.5 </w:t>
      </w:r>
      <w:r>
        <w:t xml:space="preserve">Gestion de configuration par environnement (.env, profils dev/prod/test).</w:t>
      </w:r>
    </w:p>
    <w:p>
      <w:pPr>
        <w:pStyle w:val="Heading2"/>
      </w:pPr>
      <w:r>
        <w:t xml:space="preserve">8.5 Compatibilité et exploitation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ENF-5.1 </w:t>
      </w:r>
      <w:r>
        <w:t xml:space="preserve">Serveur : Windows ou Linux ; Python ≥ 3.12 ; MySQL 8+ / MariaDB 10.6+ (utf8mb4).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ENF-5.2 </w:t>
      </w:r>
      <w:r>
        <w:t xml:space="preserve">Clients : navigateurs récents (Chrome, Edge, Firefox).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ENF-5.3 </w:t>
      </w:r>
      <w:r>
        <w:t xml:space="preserve">Déploiement local intranet ; commandes d’administration (seed, audit d’intégrité, reconstruction de chaîne, réinitialisation de mots de passe).</w:t>
      </w:r>
    </w:p>
    <w:p>
      <w:r>
        <w:br w:type="page"/>
      </w:r>
    </w:p>
    <w:p>
      <w:pPr>
        <w:pStyle w:val="Heading1"/>
      </w:pPr>
      <w:r>
        <w:t xml:space="preserve">9. Architecture technique</w:t>
      </w:r>
    </w:p>
    <w:p>
      <w:pPr>
        <w:pStyle w:val="Heading2"/>
      </w:pPr>
      <w:r>
        <w:t xml:space="preserve">9.1 Pile logicielle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Couche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Langage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Python 3.14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Framework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Django 6.0 (MVT + couche services)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Base de données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MySQL/MariaDB (utf8mb4)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Interface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Bootstrap 5, Bootstrap Icons, Chart.js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PDF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ReportLab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Sécurité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django-axes, middleware dédiés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pytest, pytest-django, factory_boy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9.2 Flux applicatif</w:t>
      </w:r>
    </w:p>
    <w:p>
      <w:pPr>
        <w:pBdr>
          <w:left w:val="single" w:color="1A5632" w:sz="12" w:space="4"/>
        </w:pBdr>
        <w:shd w:fill="F2F2F2" w:val="clear"/>
        <w:spacing w:after="0" w:before="80" w:line="252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[Navigateur] -&gt; urls.py -&gt; views (controle role/exercice)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      -&gt; services (BonCommande, DemandeAchat, Virement, Budget,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Sequence, Notification, Tache, PDF)</w:t>
      </w:r>
    </w:p>
    <w:p>
      <w:pPr>
        <w:pBdr>
          <w:left w:val="single" w:color="1A5632" w:sz="12" w:space="4"/>
        </w:pBdr>
        <w:shd w:fill="F2F2F2" w:val="clear"/>
        <w:spacing w:after="0" w:before="0" w:line="252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      -&gt; modeles + agregats SQL -&gt; MySQL</w:t>
      </w:r>
    </w:p>
    <w:p>
      <w:pPr>
        <w:pBdr>
          <w:left w:val="single" w:color="1A5632" w:sz="12" w:space="4"/>
        </w:pBdr>
        <w:shd w:fill="F2F2F2" w:val="clear"/>
        <w:spacing w:after="160" w:before="0" w:line="252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      -&gt; gabarits HTML (Bootstrap) -&gt; [Reponse]</w:t>
      </w:r>
    </w:p>
    <w:p>
      <w:pPr>
        <w:pStyle w:val="Heading2"/>
      </w:pPr>
      <w:r>
        <w:t xml:space="preserve">9.3 Modèle de données (principales entités)</w:t>
      </w:r>
    </w:p>
    <w:p>
      <w:pPr>
        <w:spacing w:after="120"/>
        <w:jc w:val="both"/>
      </w:pPr>
      <w:r>
        <w:t xml:space="preserve">ExerciceBudgetaire 1—n Tache 1—n LigneBudgetaire ; VirementBudgetaire (ligne source/destination) ; PrestationProgrammee n—1 LigneBudgetaire, 1—1 DemandeAchat ; DemandeAchat 1—n Offre (n—1 Prestataire) ; BonCommande 1—n LigneBC, 1—n ImputationBC (n—1 LigneBudgetaire), 1—n ProlongationBC ; ConsommationDirecte n—1 LigneBudgetaire ; PieceJointe (rattachement polymorphe) ; JournalActivite (chaîne SHA-256) ; Notification, Alerte, Sequence, Utilisateur (rôles).</w:t>
      </w:r>
    </w:p>
    <w:p>
      <w:pPr>
        <w:spacing w:after="120"/>
        <w:jc w:val="both"/>
      </w:pPr>
      <w:r>
        <w:t xml:space="preserve">Diagramme complet : </w:t>
      </w:r>
      <w:r>
        <w:rPr>
          <w:rFonts w:ascii="Consolas" w:cs="Consolas" w:eastAsia="Consolas" w:hAnsi="Consolas"/>
          <w:color w:val="1B3A5C"/>
          <w:sz w:val="18"/>
          <w:szCs w:val="18"/>
        </w:rPr>
        <w:t xml:space="preserve">docs/budgetpad_class_diagram.drawio</w:t>
      </w:r>
    </w:p>
    <w:p>
      <w:pPr>
        <w:pStyle w:val="Heading1"/>
      </w:pPr>
      <w:r>
        <w:t xml:space="preserve">10. Données reprises (exercice 2026)</w:t>
      </w:r>
    </w:p>
    <w:p>
      <w:pPr>
        <w:spacing w:after="120"/>
        <w:jc w:val="both"/>
      </w:pPr>
      <w:r>
        <w:t xml:space="preserve">Reprise fidèle des états officiels DRH au 08/06/2026, embarquée dans l’application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8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Donnée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Tâches / lignes budgétaires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58 / 130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PDF « Suivi détaillé des tâches 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Budget global ajusté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6 727 266 993 FCFA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Transferts reconstitués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 virements (équilibrés)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Consommations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 écritures — 1 692 877 445 FCFA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Prestations au journal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36 — 140 952 000 FCFA HT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Excel « JP-BC DRH 2026 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Fidélité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 écart ligne à ligne (solde recalculé = solde officiel)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tests automatisés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11. Livrables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Application web</w:t>
      </w:r>
      <w:r>
        <w:t xml:space="preserve"> BudgetPAD (code source versionné, branche principale + PR documentées).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Base de données</w:t>
      </w:r>
      <w:r>
        <w:t xml:space="preserve"> initialisée avec les données réelles 2026 (commande seed_real_data).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Documentation</w:t>
      </w:r>
      <w:r>
        <w:t xml:space="preserve"> : README, guide d’installation (.md + .docx), cahier des charges (présent document), audit technique, diagrammes de classes (draw.io / JSON / Markdown).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Suite de tests</w:t>
      </w:r>
      <w:r>
        <w:t xml:space="preserve"> automatisés (65 tests) et commandes d’audit d’intégrité.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Comptes de démonstration</w:t>
      </w:r>
      <w:r>
        <w:t xml:space="preserve"> (5 rôles, mot de passe initial commun).</w:t>
      </w:r>
    </w:p>
    <w:p>
      <w:pPr>
        <w:pStyle w:val="Heading1"/>
      </w:pPr>
      <w:r>
        <w:t xml:space="preserve">12. Recette — critères d’acceptation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100"/>
        <w:gridCol w:w="13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Méthode de vérification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Les 65 tests automatisés passent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Configuration valide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manage.py check → 0 problème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Fidélité des données 2026 par tâche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Comparaison automatisée app ↔ PDF officiel : 58/58 conformes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Journal JP-BC conforme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Total HT 140 952 000 ; répartition 21/4/11/0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Numérotation PAD sans doublon sous concurrence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Tests de séquence atomique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Blocages métier (solde, CAPRI, clôture, rôles)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Tests + parcours manuels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PDF BC et bilans conformes aux gabarits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Revue visuelle avec l’encadrement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Installation reproductible sur un poste tiers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Guide d’installation (dossier transféré / Git)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Validé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13. Évolutions prévues (backlog)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Découpage du module views.py (~3 600 lignes) en sous-modules par domaine.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Centralisation des statuts en énumérations (TextChoices).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Unification des résolveurs de période et injection de l’exercice courant par context processor.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direct des fichiers officiels (Excel JP-BC, états PDF) depuis l’interface.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Tableaux de bord complémentaires (projection de consommation, comparaison N/N-1).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Déploiement intranet PAD (serveur dédié, sauvegardes planifiées).</w:t>
      </w:r>
    </w:p>
    <w:p>
      <w:pPr>
        <w:pStyle w:val="Heading1"/>
      </w:pPr>
      <w:r>
        <w:t xml:space="preserve">14. Glossaire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Bon de commande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Demande d’achat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CAPRI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Avis préalable de la Direction du Contrôle de Gestion autorisant un engagement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Direction de l’Administration Générale (destinataire des DA transmises)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DCG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Direction du Contrôle de Gestion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JP-BC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Journal de programmation par bons de commande (plan annuel des prestations)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Code nature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Code comptable d’une ligne budgétaire (ex. 6047210)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Tâche budgétaire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Activité budgétée regroupant des lignes (ex. 3213003 — Gestion santé)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Budget ajusté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Budget initial + transferts entrants − transferts sortants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Consommation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Imputations de BC (TTC) + consommations directes non annulées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Solde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Budget ajusté − consommation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Quadrimestre / Pentamestre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Périodes d’engagement du JP-BC (mars–juin / juillet–novembre)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FCFA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Franc CFA (XAF)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sur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888888"/>
        <w:sz w:val="16"/>
        <w:szCs w:val="16"/>
      </w:rPr>
      <w:t xml:space="preserve">BudgetPAD — Cahier des charges</w:t>
    </w:r>
    <w:r>
      <w:rPr>
        <w:color w:val="888888"/>
        <w:sz w:val="16"/>
        <w:szCs w:val="16"/>
      </w:rPr>
      <w:t xml:space="preserve">	DRH · Port Autonome de Douala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632" w:sz="6" w:space="2"/>
      </w:pBdr>
      <w:spacing w:after="160" w:before="320"/>
      <w:outlineLvl w:val="0"/>
    </w:pPr>
    <w:rPr>
      <w:rFonts w:ascii="Arial" w:cs="Arial" w:eastAsia="Arial" w:hAnsi="Arial"/>
      <w:b/>
      <w:bCs/>
      <w:color w:val="1A563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1B3A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2026-06-11T12:05:13.468Z</dcterms:created>
  <dcterms:modified xsi:type="dcterms:W3CDTF">2026-06-11T12:05:13.470Z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