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3864" w:sz="1"/>
          <w:left w:val="single" w:color="1F3864" w:sz="1"/>
          <w:bottom w:val="none"/>
          <w:right w:val="single" w:color="1F3864" w:sz="1"/>
        </w:pBdr>
        <w:shd w:fill="1F3864" w:val="clear"/>
        <w:spacing w:after="0" w:before="0"/>
        <w:jc w:val="center"/>
      </w:pPr>
      <w:r>
        <w:rPr>
          <w:rFonts w:ascii="Arial" w:cs="Arial" w:eastAsia="Arial" w:hAnsi="Arial"/>
          <w:b/>
          <w:bCs/>
          <w:color w:val="FFFFFF"/>
          <w:sz w:val="28"/>
          <w:szCs w:val="28"/>
        </w:rPr>
        <w:t xml:space="preserve">MARYLAND HOSPITAL FINANCIAL STRESS EARLY WARNING SYSTEM</w:t>
      </w:r>
    </w:p>
    <w:p>
      <w:pPr>
        <w:pBdr>
          <w:top w:val="none"/>
          <w:left w:val="single" w:color="1F3864" w:sz="1"/>
          <w:bottom w:val="single" w:color="1F3864" w:sz="1"/>
          <w:right w:val="single" w:color="1F3864" w:sz="1"/>
        </w:pBdr>
        <w:shd w:fill="2E5FA3" w:val="clear"/>
        <w:spacing w:after="0" w:before="0"/>
        <w:jc w:val="center"/>
      </w:pPr>
      <w:r>
        <w:rPr>
          <w:rFonts w:ascii="Arial" w:cs="Arial" w:eastAsia="Arial" w:hAnsi="Arial"/>
          <w:i/>
          <w:iCs/>
          <w:color w:val="FFFFFF"/>
          <w:sz w:val="18"/>
          <w:szCs w:val="18"/>
        </w:rPr>
        <w:t xml:space="preserve">Executive Memorandum  |  2023 CMS Hospital Cost Report Analysis  |  Prepared by Dylan Jeon</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F3864"/>
                <w:sz w:val="18"/>
                <w:szCs w:val="18"/>
              </w:rPr>
              <w:t xml:space="preserve">TO:</w:t>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8"/>
                <w:szCs w:val="18"/>
              </w:rPr>
              <w:t xml:space="preserve">Senior Finance &amp; Strategy Leadership</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F3864"/>
                <w:sz w:val="18"/>
                <w:szCs w:val="18"/>
              </w:rPr>
              <w:t xml:space="preserve">FROM:</w:t>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8"/>
                <w:szCs w:val="18"/>
              </w:rPr>
              <w:t xml:space="preserve">Dylan Jeon, Financial Analyst</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F3864"/>
                <w:sz w:val="18"/>
                <w:szCs w:val="18"/>
              </w:rPr>
              <w:t xml:space="preserve">DATE:</w:t>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8"/>
                <w:szCs w:val="18"/>
              </w:rPr>
              <w:t xml:space="preserve">May 2026</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F3864"/>
                <w:sz w:val="18"/>
                <w:szCs w:val="18"/>
              </w:rPr>
              <w:t xml:space="preserve">RE:</w:t>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8"/>
                <w:szCs w:val="18"/>
              </w:rPr>
              <w:t xml:space="preserve">Financial Health Risk Assessment — Maryland Hospitals, FY2023</w:t>
            </w:r>
          </w:p>
        </w:tc>
      </w:tr>
      <w:tr>
        <w:tc>
          <w:tcPr>
            <w:tcW w:type="dxa" w:w="144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F3864"/>
                <w:sz w:val="18"/>
                <w:szCs w:val="18"/>
              </w:rPr>
              <w:t xml:space="preserve">DATA SOURCE:</w:t>
            </w:r>
          </w:p>
        </w:tc>
        <w:tc>
          <w:tcPr>
            <w:tcW w:type="dxa" w:w="792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18"/>
                <w:szCs w:val="18"/>
              </w:rPr>
              <w:t xml:space="preserve">CMS Hospital Provider Cost Report 2023 (data.cms.gov)</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40"/>
              <w:right w:type="dxa" w:w="120"/>
            </w:tcMar>
            <w:vAlign w:val="center"/>
          </w:tcPr>
          <w:p>
            <w:pPr>
              <w:jc w:val="center"/>
            </w:pPr>
            <w:r>
              <w:rPr>
                <w:rFonts w:ascii="Arial" w:cs="Arial" w:eastAsia="Arial" w:hAnsi="Arial"/>
                <w:b/>
                <w:bCs/>
                <w:color w:val="FFFFFF"/>
                <w:sz w:val="16"/>
                <w:szCs w:val="16"/>
              </w:rPr>
              <w:t xml:space="preserve">Total Hospitals Analyzed</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40"/>
              <w:right w:type="dxa" w:w="120"/>
            </w:tcMar>
            <w:vAlign w:val="center"/>
          </w:tcPr>
          <w:p>
            <w:pPr>
              <w:jc w:val="center"/>
            </w:pPr>
            <w:r>
              <w:rPr>
                <w:rFonts w:ascii="Arial" w:cs="Arial" w:eastAsia="Arial" w:hAnsi="Arial"/>
                <w:b/>
                <w:bCs/>
                <w:color w:val="FFFFFF"/>
                <w:sz w:val="16"/>
                <w:szCs w:val="16"/>
              </w:rPr>
              <w:t xml:space="preserve">Critical Risk</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40"/>
              <w:right w:type="dxa" w:w="120"/>
            </w:tcMar>
            <w:vAlign w:val="center"/>
          </w:tcPr>
          <w:p>
            <w:pPr>
              <w:jc w:val="center"/>
            </w:pPr>
            <w:r>
              <w:rPr>
                <w:rFonts w:ascii="Arial" w:cs="Arial" w:eastAsia="Arial" w:hAnsi="Arial"/>
                <w:b/>
                <w:bCs/>
                <w:color w:val="FFFFFF"/>
                <w:sz w:val="16"/>
                <w:szCs w:val="16"/>
              </w:rPr>
              <w:t xml:space="preserve">High Risk</w:t>
            </w:r>
          </w:p>
        </w:tc>
        <w:tc>
          <w:tcPr>
            <w:tcW w:type="dxa" w:w="2340"/>
            <w:tcBorders>
              <w:top w:val="single" w:color="CCCCCC" w:sz="1"/>
              <w:left w:val="single" w:color="CCCCCC" w:sz="1"/>
              <w:bottom w:val="single" w:color="CCCCCC" w:sz="1"/>
              <w:right w:val="single" w:color="CCCCCC" w:sz="1"/>
            </w:tcBorders>
            <w:shd w:fill="1E8449" w:val="clear"/>
            <w:tcMar>
              <w:top w:type="dxa" w:w="80"/>
              <w:left w:type="dxa" w:w="120"/>
              <w:bottom w:type="dxa" w:w="40"/>
              <w:right w:type="dxa" w:w="120"/>
            </w:tcMar>
            <w:vAlign w:val="center"/>
          </w:tcPr>
          <w:p>
            <w:pPr>
              <w:jc w:val="center"/>
            </w:pPr>
            <w:r>
              <w:rPr>
                <w:rFonts w:ascii="Arial" w:cs="Arial" w:eastAsia="Arial" w:hAnsi="Arial"/>
                <w:b/>
                <w:bCs/>
                <w:color w:val="FFFFFF"/>
                <w:sz w:val="16"/>
                <w:szCs w:val="16"/>
              </w:rPr>
              <w:t xml:space="preserve">Low Risk</w:t>
            </w:r>
          </w:p>
        </w:tc>
      </w:tr>
      <w:tr>
        <w:tc>
          <w:tcPr>
            <w:tcW w:type="dxa" w:w="2340"/>
            <w:tcBorders>
              <w:top w:val="single" w:color="CCCCCC" w:sz="1"/>
              <w:left w:val="single" w:color="CCCCCC" w:sz="1"/>
              <w:bottom w:val="single" w:color="CCCCCC" w:sz="1"/>
              <w:right w:val="single" w:color="CCCCCC" w:sz="1"/>
            </w:tcBorders>
            <w:shd w:fill="D6E4F0" w:val="clear"/>
            <w:tcMar>
              <w:top w:type="dxa" w:w="40"/>
              <w:left w:type="dxa" w:w="120"/>
              <w:bottom w:type="dxa" w:w="80"/>
              <w:right w:type="dxa" w:w="120"/>
            </w:tcMar>
            <w:vAlign w:val="center"/>
          </w:tcPr>
          <w:p>
            <w:pPr>
              <w:jc w:val="center"/>
            </w:pPr>
            <w:r>
              <w:rPr>
                <w:rFonts w:ascii="Arial" w:cs="Arial" w:eastAsia="Arial" w:hAnsi="Arial"/>
                <w:b/>
                <w:bCs/>
                <w:color w:val="2E5FA3"/>
                <w:sz w:val="48"/>
                <w:szCs w:val="48"/>
              </w:rPr>
              <w:t xml:space="preserve">51</w:t>
            </w:r>
          </w:p>
        </w:tc>
        <w:tc>
          <w:tcPr>
            <w:tcW w:type="dxa" w:w="2340"/>
            <w:tcBorders>
              <w:top w:val="single" w:color="CCCCCC" w:sz="1"/>
              <w:left w:val="single" w:color="CCCCCC" w:sz="1"/>
              <w:bottom w:val="single" w:color="CCCCCC" w:sz="1"/>
              <w:right w:val="single" w:color="CCCCCC" w:sz="1"/>
            </w:tcBorders>
            <w:shd w:fill="FADBD8" w:val="clear"/>
            <w:tcMar>
              <w:top w:type="dxa" w:w="40"/>
              <w:left w:type="dxa" w:w="120"/>
              <w:bottom w:type="dxa" w:w="80"/>
              <w:right w:type="dxa" w:w="120"/>
            </w:tcMar>
            <w:vAlign w:val="center"/>
          </w:tcPr>
          <w:p>
            <w:pPr>
              <w:jc w:val="center"/>
            </w:pPr>
            <w:r>
              <w:rPr>
                <w:rFonts w:ascii="Arial" w:cs="Arial" w:eastAsia="Arial" w:hAnsi="Arial"/>
                <w:b/>
                <w:bCs/>
                <w:color w:val="C0392B"/>
                <w:sz w:val="48"/>
                <w:szCs w:val="48"/>
              </w:rPr>
              <w:t xml:space="preserve">1</w:t>
            </w:r>
          </w:p>
        </w:tc>
        <w:tc>
          <w:tcPr>
            <w:tcW w:type="dxa" w:w="2340"/>
            <w:tcBorders>
              <w:top w:val="single" w:color="CCCCCC" w:sz="1"/>
              <w:left w:val="single" w:color="CCCCCC" w:sz="1"/>
              <w:bottom w:val="single" w:color="CCCCCC" w:sz="1"/>
              <w:right w:val="single" w:color="CCCCCC" w:sz="1"/>
            </w:tcBorders>
            <w:shd w:fill="FDEBD0" w:val="clear"/>
            <w:tcMar>
              <w:top w:type="dxa" w:w="40"/>
              <w:left w:type="dxa" w:w="120"/>
              <w:bottom w:type="dxa" w:w="80"/>
              <w:right w:type="dxa" w:w="120"/>
            </w:tcMar>
            <w:vAlign w:val="center"/>
          </w:tcPr>
          <w:p>
            <w:pPr>
              <w:jc w:val="center"/>
            </w:pPr>
            <w:r>
              <w:rPr>
                <w:rFonts w:ascii="Arial" w:cs="Arial" w:eastAsia="Arial" w:hAnsi="Arial"/>
                <w:b/>
                <w:bCs/>
                <w:color w:val="E67E22"/>
                <w:sz w:val="48"/>
                <w:szCs w:val="48"/>
              </w:rPr>
              <w:t xml:space="preserve">10</w:t>
            </w:r>
          </w:p>
        </w:tc>
        <w:tc>
          <w:tcPr>
            <w:tcW w:type="dxa" w:w="2340"/>
            <w:tcBorders>
              <w:top w:val="single" w:color="CCCCCC" w:sz="1"/>
              <w:left w:val="single" w:color="CCCCCC" w:sz="1"/>
              <w:bottom w:val="single" w:color="CCCCCC" w:sz="1"/>
              <w:right w:val="single" w:color="CCCCCC" w:sz="1"/>
            </w:tcBorders>
            <w:shd w:fill="D5F5E3" w:val="clear"/>
            <w:tcMar>
              <w:top w:type="dxa" w:w="40"/>
              <w:left w:type="dxa" w:w="120"/>
              <w:bottom w:type="dxa" w:w="80"/>
              <w:right w:type="dxa" w:w="120"/>
            </w:tcMar>
            <w:vAlign w:val="center"/>
          </w:tcPr>
          <w:p>
            <w:pPr>
              <w:jc w:val="center"/>
            </w:pPr>
            <w:r>
              <w:rPr>
                <w:rFonts w:ascii="Arial" w:cs="Arial" w:eastAsia="Arial" w:hAnsi="Arial"/>
                <w:b/>
                <w:bCs/>
                <w:color w:val="1E8449"/>
                <w:sz w:val="48"/>
                <w:szCs w:val="48"/>
              </w:rPr>
              <w:t xml:space="preserve">13</w:t>
            </w:r>
          </w:p>
        </w:tc>
      </w:tr>
    </w:tbl>
    <w:p>
      <w:pPr>
        <w:spacing w:after="160" w:before="0"/>
      </w:pPr>
    </w:p>
    <w:p>
      <w:pPr>
        <w:pBdr>
          <w:bottom w:val="single" w:color="2E5FA3" w:sz="8" w:space="1"/>
        </w:pBdr>
        <w:spacing w:after="100" w:before="280"/>
      </w:pPr>
      <w:r>
        <w:rPr>
          <w:rFonts w:ascii="Arial" w:cs="Arial" w:eastAsia="Arial" w:hAnsi="Arial"/>
          <w:b/>
          <w:bCs/>
          <w:color w:val="1F3864"/>
          <w:sz w:val="24"/>
          <w:szCs w:val="24"/>
        </w:rPr>
        <w:t xml:space="preserve">Overview</w:t>
      </w:r>
    </w:p>
    <w:p>
      <w:pPr>
        <w:spacing w:after="80" w:before="80"/>
      </w:pPr>
      <w:r>
        <w:rPr>
          <w:rFonts w:ascii="Arial" w:cs="Arial" w:eastAsia="Arial" w:hAnsi="Arial"/>
          <w:sz w:val="20"/>
          <w:szCs w:val="20"/>
        </w:rPr>
        <w:t xml:space="preserve">This analysis examines the financial health of 51 Maryland hospitals using publicly available 2023 CMS Hospital Provider Cost Report data. A composite Financial Stress Score was developed by scoring each hospital across five leading indicators: operating margin, days cash on hand, debt-to-asset ratio, labor cost percentage, and uncompensated care burden. Each indicator is scored 1 (healthy) to 5 (critical), yielding a composite score ranging from 5 to 25. The goal is to identify hospitals showing early warning signs of financial distress before they become crises — enabling proactive monitoring and resource allocation by finance and strategy leadership.</w:t>
      </w:r>
    </w:p>
    <w:p>
      <w:pPr>
        <w:spacing w:after="80" w:before="0"/>
      </w:pPr>
    </w:p>
    <w:p>
      <w:pPr>
        <w:pBdr>
          <w:bottom w:val="single" w:color="2E5FA3" w:sz="8" w:space="1"/>
        </w:pBdr>
        <w:spacing w:after="100" w:before="280"/>
      </w:pPr>
      <w:r>
        <w:rPr>
          <w:rFonts w:ascii="Arial" w:cs="Arial" w:eastAsia="Arial" w:hAnsi="Arial"/>
          <w:b/>
          <w:bCs/>
          <w:color w:val="1F3864"/>
          <w:sz w:val="24"/>
          <w:szCs w:val="24"/>
        </w:rPr>
        <w:t xml:space="preserve">Key Findings</w:t>
      </w:r>
    </w:p>
    <w:p>
      <w:pPr>
        <w:pStyle w:val="ListParagraph"/>
        <w:numPr>
          <w:ilvl w:val="0"/>
          <w:numId w:val="2"/>
        </w:numPr>
        <w:spacing w:after="40" w:before="40"/>
      </w:pPr>
      <w:r>
        <w:rPr>
          <w:rFonts w:ascii="Arial" w:cs="Arial" w:eastAsia="Arial" w:hAnsi="Arial"/>
          <w:sz w:val="20"/>
          <w:szCs w:val="20"/>
        </w:rPr>
        <w:t xml:space="preserve">14 of 51 Maryland hospitals (27%) reported negative operating margins in FY2023, indicating that more than one in four hospitals is spending more than it earns from patient care.</w:t>
      </w:r>
    </w:p>
    <w:p>
      <w:pPr>
        <w:pStyle w:val="ListParagraph"/>
        <w:numPr>
          <w:ilvl w:val="0"/>
          <w:numId w:val="2"/>
        </w:numPr>
        <w:spacing w:after="40" w:before="40"/>
      </w:pPr>
      <w:r>
        <w:rPr>
          <w:rFonts w:ascii="Arial" w:cs="Arial" w:eastAsia="Arial" w:hAnsi="Arial"/>
          <w:sz w:val="20"/>
          <w:szCs w:val="20"/>
        </w:rPr>
        <w:t xml:space="preserve">5 hospitals reported negative days cash on hand, meaning liabilities exceed liquid assets — a severe liquidity warning signal that warrants immediate attention from treasury and finance teams.</w:t>
      </w:r>
    </w:p>
    <w:p>
      <w:pPr>
        <w:pStyle w:val="ListParagraph"/>
        <w:numPr>
          <w:ilvl w:val="0"/>
          <w:numId w:val="2"/>
        </w:numPr>
        <w:spacing w:after="40" w:before="40"/>
      </w:pPr>
      <w:r>
        <w:rPr>
          <w:rFonts w:ascii="Arial" w:cs="Arial" w:eastAsia="Arial" w:hAnsi="Arial"/>
          <w:sz w:val="20"/>
          <w:szCs w:val="20"/>
        </w:rPr>
        <w:t xml:space="preserve">The median operating margin across Maryland hospitals was 3.0%, just above the 2% threshold generally considered the minimum for financial sustainability in healthcare.</w:t>
      </w:r>
    </w:p>
    <w:p>
      <w:pPr>
        <w:pStyle w:val="ListParagraph"/>
        <w:numPr>
          <w:ilvl w:val="0"/>
          <w:numId w:val="2"/>
        </w:numPr>
        <w:spacing w:after="40" w:before="40"/>
      </w:pPr>
      <w:r>
        <w:rPr>
          <w:rFonts w:ascii="Arial" w:cs="Arial" w:eastAsia="Arial" w:hAnsi="Arial"/>
          <w:sz w:val="20"/>
          <w:szCs w:val="20"/>
        </w:rPr>
        <w:t xml:space="preserve">Days cash on hand is the single most stressed indicator system-wide, with an average score of 3.2 out of 5, suggesting that liquidity — not leverage or labor — is the most pressing near-term risk across the Maryland hospital market.</w:t>
      </w:r>
    </w:p>
    <w:p>
      <w:pPr>
        <w:pStyle w:val="ListParagraph"/>
        <w:numPr>
          <w:ilvl w:val="0"/>
          <w:numId w:val="2"/>
        </w:numPr>
        <w:spacing w:after="40" w:before="40"/>
      </w:pPr>
      <w:r>
        <w:rPr>
          <w:rFonts w:ascii="Arial" w:cs="Arial" w:eastAsia="Arial" w:hAnsi="Arial"/>
          <w:sz w:val="20"/>
          <w:szCs w:val="20"/>
        </w:rPr>
        <w:t xml:space="preserve">Average debt-to-asset ratio across the state stands at 46.3%, with several hospitals exceeding 90% — a level that severely limits financial flexibility and access to capital.</w:t>
      </w:r>
    </w:p>
    <w:p>
      <w:pPr>
        <w:spacing w:after="80" w:before="0"/>
      </w:pPr>
    </w:p>
    <w:p>
      <w:pPr>
        <w:pBdr>
          <w:bottom w:val="single" w:color="2E5FA3" w:sz="8" w:space="1"/>
        </w:pBdr>
        <w:spacing w:after="100" w:before="280"/>
      </w:pPr>
      <w:r>
        <w:rPr>
          <w:rFonts w:ascii="Arial" w:cs="Arial" w:eastAsia="Arial" w:hAnsi="Arial"/>
          <w:b/>
          <w:bCs/>
          <w:color w:val="1F3864"/>
          <w:sz w:val="24"/>
          <w:szCs w:val="24"/>
        </w:rPr>
        <w:t xml:space="preserve">Highest-Risk Hospitals</w:t>
      </w:r>
    </w:p>
    <w:p>
      <w:pPr>
        <w:spacing w:after="100" w:before="80"/>
      </w:pPr>
      <w:r>
        <w:rPr>
          <w:rFonts w:ascii="Arial" w:cs="Arial" w:eastAsia="Arial" w:hAnsi="Arial"/>
          <w:sz w:val="20"/>
          <w:szCs w:val="20"/>
        </w:rPr>
        <w:t xml:space="preserve">The following five hospitals scored highest on the composite stress index and warrant priority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000"/>
        <w:gridCol w:w="1160"/>
        <w:gridCol w:w="1000"/>
        <w:gridCol w:w="100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Hospital Name</w:t>
            </w:r>
          </w:p>
        </w:tc>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City</w:t>
            </w:r>
          </w:p>
        </w:tc>
        <w:tc>
          <w:tcPr>
            <w:tcW w:type="dxa" w:w="1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Score</w:t>
            </w:r>
          </w:p>
        </w:tc>
        <w:tc>
          <w:tcPr>
            <w:tcW w:type="dxa" w:w="1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Risk</w:t>
            </w:r>
          </w:p>
        </w:tc>
        <w:tc>
          <w:tcPr>
            <w:tcW w:type="dxa" w:w="11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Op. Margin</w:t>
            </w:r>
          </w:p>
        </w:tc>
        <w:tc>
          <w:tcPr>
            <w:tcW w:type="dxa" w:w="1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Days Cash</w:t>
            </w:r>
          </w:p>
        </w:tc>
        <w:tc>
          <w:tcPr>
            <w:tcW w:type="dxa" w:w="10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Debt/Asset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J Kent McNew Family Medical Center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Annapolis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21</w:t>
            </w:r>
          </w:p>
        </w:tc>
        <w:tc>
          <w:tcPr>
            <w:tcW w:type="dxa" w:w="10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Critical</w:t>
            </w:r>
          </w:p>
        </w:tc>
        <w:tc>
          <w:tcPr>
            <w:tcW w:type="dxa" w:w="1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-11.7%</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0.0 days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114.8%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 Agnes Hospital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Baltimore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19</w:t>
            </w:r>
          </w:p>
        </w:tc>
        <w:tc>
          <w:tcPr>
            <w:tcW w:type="dxa" w:w="10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-5.7%</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5.7 days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52.4%</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Fort Washington Medical Center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Fort Washington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19</w:t>
            </w:r>
          </w:p>
        </w:tc>
        <w:tc>
          <w:tcPr>
            <w:tcW w:type="dxa" w:w="10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-46.6 days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77.0%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Doctors Community Hospital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Lanham</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18</w:t>
            </w:r>
          </w:p>
        </w:tc>
        <w:tc>
          <w:tcPr>
            <w:tcW w:type="dxa" w:w="10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3.2 days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90.3%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val="false"/>
                <w:bCs w:val="false"/>
                <w:color w:val="000000"/>
                <w:sz w:val="16"/>
                <w:szCs w:val="16"/>
              </w:rPr>
              <w:t xml:space="preserve">St. Joseph Medical Center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Towson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17</w:t>
            </w:r>
          </w:p>
        </w:tc>
        <w:tc>
          <w:tcPr>
            <w:tcW w:type="dxa" w:w="10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pPr>
              <w:jc w:val="center"/>
            </w:pPr>
            <w:r>
              <w:rPr>
                <w:rFonts w:ascii="Arial" w:cs="Arial" w:eastAsia="Arial" w:hAnsi="Arial"/>
                <w:b/>
                <w:bCs/>
                <w:color w:val="FFFFFF"/>
                <w:sz w:val="16"/>
                <w:szCs w:val="16"/>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0.4 days</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000000"/>
                <w:sz w:val="16"/>
                <w:szCs w:val="16"/>
              </w:rPr>
              <w:t xml:space="preserve">95.4%</w:t>
            </w:r>
          </w:p>
        </w:tc>
      </w:tr>
    </w:tbl>
    <w:p>
      <w:pPr>
        <w:spacing w:after="80" w:before="0"/>
      </w:pPr>
    </w:p>
    <w:p>
      <w:pPr>
        <w:spacing w:after="80" w:before="0"/>
      </w:pPr>
      <w:r>
        <w:rPr>
          <w:rFonts w:ascii="Arial" w:cs="Arial" w:eastAsia="Arial" w:hAnsi="Arial"/>
          <w:i/>
          <w:iCs/>
          <w:color w:val="555555"/>
          <w:sz w:val="20"/>
          <w:szCs w:val="20"/>
        </w:rPr>
        <w:t xml:space="preserve">J Kent McNew Family Medical Center in Annapolis is the sole Critical-rated hospital, with a debt-to-asset ratio of 114.8% — meaning total liabilities exceed total assets — and effectively zero days cash on hand. This combination of insolvency risk and zero liquidity represents the most acute financial stress in the dataset. Fort Washington Medical Center shows negative days cash on hand (-46.6 days), driven by significant short-term liabilities, and is among the most liquidity-constrained institutions in the state.</w:t>
      </w:r>
    </w:p>
    <w:p>
      <w:pPr>
        <w:spacing w:after="80" w:before="0"/>
      </w:pPr>
    </w:p>
    <w:p>
      <w:pPr>
        <w:pBdr>
          <w:bottom w:val="single" w:color="2E5FA3" w:sz="8" w:space="1"/>
        </w:pBdr>
        <w:spacing w:after="100" w:before="280"/>
      </w:pPr>
      <w:r>
        <w:rPr>
          <w:rFonts w:ascii="Arial" w:cs="Arial" w:eastAsia="Arial" w:hAnsi="Arial"/>
          <w:b/>
          <w:bCs/>
          <w:color w:val="1F3864"/>
          <w:sz w:val="24"/>
          <w:szCs w:val="24"/>
        </w:rPr>
        <w:t xml:space="preserve">Leading Indicators to Monitor</w:t>
      </w:r>
    </w:p>
    <w:p>
      <w:pPr>
        <w:spacing w:after="80" w:before="80"/>
      </w:pPr>
      <w:r>
        <w:rPr>
          <w:rFonts w:ascii="Arial" w:cs="Arial" w:eastAsia="Arial" w:hAnsi="Arial"/>
          <w:sz w:val="20"/>
          <w:szCs w:val="20"/>
        </w:rPr>
        <w:t xml:space="preserve">Based on the analysis, the following KPIs are most predictive of financial deterioration and should be tracked quarterly by finance and strategy teams:</w:t>
      </w:r>
    </w:p>
    <w:p>
      <w:pPr>
        <w:pStyle w:val="ListParagraph"/>
        <w:numPr>
          <w:ilvl w:val="0"/>
          <w:numId w:val="2"/>
        </w:numPr>
        <w:spacing w:after="40" w:before="40"/>
      </w:pPr>
      <w:r>
        <w:rPr>
          <w:rFonts w:ascii="Arial" w:cs="Arial" w:eastAsia="Arial" w:hAnsi="Arial"/>
          <w:b/>
          <w:bCs/>
          <w:sz w:val="20"/>
          <w:szCs w:val="20"/>
        </w:rPr>
        <w:t xml:space="preserve">Days Cash on Hand — </w:t>
      </w:r>
      <w:r>
        <w:rPr>
          <w:rFonts w:ascii="Arial" w:cs="Arial" w:eastAsia="Arial" w:hAnsi="Arial"/>
          <w:sz w:val="20"/>
          <w:szCs w:val="20"/>
        </w:rPr>
        <w:t xml:space="preserve">Days Cash on Hand — the most sensitive early warning indicator in this dataset; anything below 30 days signals escalating liquidity risk.</w:t>
      </w:r>
    </w:p>
    <w:p>
      <w:pPr>
        <w:pStyle w:val="ListParagraph"/>
        <w:numPr>
          <w:ilvl w:val="0"/>
          <w:numId w:val="2"/>
        </w:numPr>
        <w:spacing w:after="40" w:before="40"/>
      </w:pPr>
      <w:r>
        <w:rPr>
          <w:rFonts w:ascii="Arial" w:cs="Arial" w:eastAsia="Arial" w:hAnsi="Arial"/>
          <w:b/>
          <w:bCs/>
          <w:sz w:val="20"/>
          <w:szCs w:val="20"/>
        </w:rPr>
        <w:t xml:space="preserve">Operating Margin Trend — </w:t>
      </w:r>
      <w:r>
        <w:rPr>
          <w:rFonts w:ascii="Arial" w:cs="Arial" w:eastAsia="Arial" w:hAnsi="Arial"/>
          <w:sz w:val="20"/>
          <w:szCs w:val="20"/>
        </w:rPr>
        <w:t xml:space="preserve">Operating Margin trend — a declining margin over two consecutive quarters is a leading signal of structural cost pressure, even if the institution remains technically profitable.</w:t>
      </w:r>
    </w:p>
    <w:p>
      <w:pPr>
        <w:pStyle w:val="ListParagraph"/>
        <w:numPr>
          <w:ilvl w:val="0"/>
          <w:numId w:val="2"/>
        </w:numPr>
        <w:spacing w:after="40" w:before="40"/>
      </w:pPr>
      <w:r>
        <w:rPr>
          <w:rFonts w:ascii="Arial" w:cs="Arial" w:eastAsia="Arial" w:hAnsi="Arial"/>
          <w:b/>
          <w:bCs/>
          <w:sz w:val="20"/>
          <w:szCs w:val="20"/>
        </w:rPr>
        <w:t xml:space="preserve">Debt-to-Asset Ratio — </w:t>
      </w:r>
      <w:r>
        <w:rPr>
          <w:rFonts w:ascii="Arial" w:cs="Arial" w:eastAsia="Arial" w:hAnsi="Arial"/>
          <w:sz w:val="20"/>
          <w:szCs w:val="20"/>
        </w:rPr>
        <w:t xml:space="preserve">Debt-to-Asset Ratio — institutions above 80% have severely limited refinancing options and are most vulnerable to interest rate increases or unexpected capital needs.</w:t>
      </w:r>
    </w:p>
    <w:p>
      <w:pPr>
        <w:spacing w:after="80" w:before="0"/>
      </w:pPr>
    </w:p>
    <w:p>
      <w:pPr>
        <w:pBdr>
          <w:bottom w:val="single" w:color="2E5FA3" w:sz="8" w:space="1"/>
        </w:pBdr>
        <w:spacing w:after="100" w:before="280"/>
      </w:pPr>
      <w:r>
        <w:rPr>
          <w:rFonts w:ascii="Arial" w:cs="Arial" w:eastAsia="Arial" w:hAnsi="Arial"/>
          <w:b/>
          <w:bCs/>
          <w:color w:val="1F3864"/>
          <w:sz w:val="24"/>
          <w:szCs w:val="24"/>
        </w:rPr>
        <w:t xml:space="preserve">Recommendation</w:t>
      </w:r>
    </w:p>
    <w:p>
      <w:pPr>
        <w:spacing w:after="80" w:before="80"/>
      </w:pPr>
      <w:r>
        <w:rPr>
          <w:rFonts w:ascii="Arial" w:cs="Arial" w:eastAsia="Arial" w:hAnsi="Arial"/>
          <w:sz w:val="20"/>
          <w:szCs w:val="20"/>
        </w:rPr>
        <w:t xml:space="preserve">Finance and strategy leadership should implement a quarterly financial health monitoring cadence for all Maryland hospitals using this five-indicator framework. Priority attention should be directed to the 11 hospitals currently rated Critical or High, with particular urgency around the three institutions showing negative or near-zero days cash on hand. For internal planning purposes, this scoring model can be directly extended to peer benchmarking, budget scenario analysis, and early intervention triggering — providing a scalable, data-driven foundation for proactive financial oversight across the hospital network.</w:t>
      </w:r>
    </w:p>
    <w:p>
      <w:pPr>
        <w:spacing w:after="80" w:before="0"/>
      </w:pPr>
    </w:p>
    <w:p>
      <w:pPr>
        <w:pBdr>
          <w:top w:val="single" w:color="CCCCCC" w:sz="4" w:space="1"/>
        </w:pBdr>
        <w:spacing w:after="40" w:before="160"/>
      </w:pPr>
      <w:r>
        <w:rPr>
          <w:rFonts w:ascii="Arial" w:cs="Arial" w:eastAsia="Arial" w:hAnsi="Arial"/>
          <w:b/>
          <w:bCs/>
          <w:color w:val="777777"/>
          <w:sz w:val="16"/>
          <w:szCs w:val="16"/>
        </w:rPr>
        <w:t xml:space="preserve">Methodology Note: </w:t>
      </w:r>
      <w:r>
        <w:rPr>
          <w:rFonts w:ascii="Arial" w:cs="Arial" w:eastAsia="Arial" w:hAnsi="Arial"/>
          <w:color w:val="777777"/>
          <w:sz w:val="16"/>
          <w:szCs w:val="16"/>
        </w:rPr>
        <w:t xml:space="preserve">All data sourced from CMS Hospital Provider Cost Report FY2023. Hospitals with missing data across core financial fields were excluded, resulting in a final sample of 51 institutions. Scoring thresholds are informed by HFMA financial benchmarking standards and healthcare finance industry norms. This analysis is intended for strategic planning and monitoring purposes and should be supplemented with operational context before making resource allocation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2026-05-25T18:04:52.399Z</dcterms:created>
  <dcterms:modified xsi:type="dcterms:W3CDTF">2026-05-25T18:04:52.410Z</dcterms:modified>
</cp:coreProperties>
</file>

<file path=docProps/custom.xml><?xml version="1.0" encoding="utf-8"?>
<Properties xmlns="http://schemas.openxmlformats.org/officeDocument/2006/custom-properties" xmlns:vt="http://schemas.openxmlformats.org/officeDocument/2006/docPropsVTypes"/>
</file>