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32E" w:rsidRDefault="00D7032E" w:rsidP="00D7032E">
      <w:pPr>
        <w:pStyle w:val="Titre"/>
        <w:jc w:val="center"/>
      </w:pPr>
    </w:p>
    <w:p w:rsidR="00D7032E" w:rsidRDefault="00D7032E" w:rsidP="00D7032E">
      <w:pPr>
        <w:pStyle w:val="Titre"/>
        <w:jc w:val="center"/>
      </w:pPr>
    </w:p>
    <w:p w:rsidR="00D7032E" w:rsidRDefault="00D7032E" w:rsidP="00D7032E">
      <w:pPr>
        <w:pStyle w:val="Titre"/>
        <w:jc w:val="center"/>
      </w:pPr>
    </w:p>
    <w:p w:rsidR="00D7032E" w:rsidRDefault="00D7032E" w:rsidP="00D7032E">
      <w:pPr>
        <w:pStyle w:val="Titre"/>
        <w:jc w:val="center"/>
      </w:pPr>
    </w:p>
    <w:p w:rsidR="00D7032E" w:rsidRDefault="00D7032E" w:rsidP="00D7032E">
      <w:pPr>
        <w:pStyle w:val="Titre"/>
      </w:pPr>
    </w:p>
    <w:p w:rsidR="00492C9C" w:rsidRPr="00D7032E" w:rsidRDefault="003B61A1" w:rsidP="00D7032E">
      <w:pPr>
        <w:pStyle w:val="Titre"/>
        <w:jc w:val="center"/>
        <w:rPr>
          <w:sz w:val="72"/>
          <w:szCs w:val="72"/>
        </w:rPr>
      </w:pPr>
      <w:r w:rsidRPr="00D7032E">
        <w:rPr>
          <w:sz w:val="72"/>
          <w:szCs w:val="72"/>
        </w:rPr>
        <w:t>Rapport de TP de SMA</w:t>
      </w:r>
    </w:p>
    <w:p w:rsidR="00D7032E" w:rsidRDefault="00D7032E" w:rsidP="00D7032E">
      <w:pPr>
        <w:pStyle w:val="Sous-titre"/>
        <w:jc w:val="center"/>
      </w:pPr>
    </w:p>
    <w:p w:rsidR="003B61A1" w:rsidRPr="00D7032E" w:rsidRDefault="003B61A1" w:rsidP="00D7032E">
      <w:pPr>
        <w:pStyle w:val="Sous-titre"/>
        <w:jc w:val="center"/>
        <w:rPr>
          <w:sz w:val="50"/>
          <w:szCs w:val="50"/>
        </w:rPr>
      </w:pPr>
      <w:r w:rsidRPr="00D7032E">
        <w:rPr>
          <w:sz w:val="50"/>
          <w:szCs w:val="50"/>
        </w:rPr>
        <w:t>Tri collectif</w:t>
      </w:r>
    </w:p>
    <w:p w:rsidR="00D7032E" w:rsidRDefault="00D7032E" w:rsidP="00D7032E"/>
    <w:p w:rsidR="00D7032E" w:rsidRDefault="00D7032E" w:rsidP="00D7032E"/>
    <w:p w:rsidR="00D7032E" w:rsidRDefault="00D7032E" w:rsidP="00D7032E">
      <w:pPr>
        <w:jc w:val="center"/>
      </w:pPr>
    </w:p>
    <w:p w:rsidR="00D7032E" w:rsidRPr="00D7032E" w:rsidRDefault="00D7032E" w:rsidP="00D7032E">
      <w:pPr>
        <w:jc w:val="center"/>
        <w:rPr>
          <w:b/>
          <w:bCs/>
          <w:sz w:val="28"/>
          <w:szCs w:val="28"/>
        </w:rPr>
      </w:pPr>
      <w:r w:rsidRPr="00D7032E">
        <w:rPr>
          <w:b/>
          <w:bCs/>
          <w:sz w:val="28"/>
          <w:szCs w:val="28"/>
        </w:rPr>
        <w:t>Présenté par Dylan MARSANGY et Laura PHILIBERT</w:t>
      </w:r>
    </w:p>
    <w:p w:rsidR="00D7032E" w:rsidRDefault="00D7032E" w:rsidP="00D7032E"/>
    <w:p w:rsidR="00D7032E" w:rsidRDefault="00D7032E" w:rsidP="00D7032E"/>
    <w:p w:rsidR="00D7032E" w:rsidRPr="00D7032E" w:rsidRDefault="00D7032E" w:rsidP="00D7032E">
      <w:pPr>
        <w:jc w:val="center"/>
        <w:sectPr w:rsidR="00D7032E" w:rsidRPr="00D7032E">
          <w:pgSz w:w="11906" w:h="16838"/>
          <w:pgMar w:top="1417" w:right="1417" w:bottom="1417" w:left="1417" w:header="708" w:footer="708" w:gutter="0"/>
          <w:cols w:space="708"/>
          <w:docGrid w:linePitch="360"/>
        </w:sectPr>
      </w:pP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 xml:space="preserve">nous avons réalisé diverses statistiques afin d’évaluer l’influence des paramètres d’entrée sur les résultats obtenus après simulation. </w:t>
      </w:r>
      <w:r w:rsidR="00422DA7">
        <w:t>Des</w:t>
      </w:r>
      <w:r w:rsidR="003A1B98">
        <w:t xml:space="preserve"> exemple</w:t>
      </w:r>
      <w:r w:rsidR="00422DA7">
        <w:t>s</w:t>
      </w:r>
      <w:r w:rsidR="003A1B98">
        <w:t xml:space="preserve"> de ces statistiques se trouve</w:t>
      </w:r>
      <w:r w:rsidR="00422DA7">
        <w:t>nt</w:t>
      </w:r>
      <w:r w:rsidR="003A1B98">
        <w:t xml:space="preserve"> dans le dossier </w:t>
      </w:r>
      <w:r w:rsidR="003A1B98" w:rsidRPr="003A1B98">
        <w:rPr>
          <w:i/>
          <w:iCs/>
        </w:rPr>
        <w:t>sample/</w:t>
      </w:r>
      <w:r w:rsidR="003A1B98">
        <w:t xml:space="preserve"> du projet ; </w:t>
      </w:r>
      <w:r w:rsidR="00422DA7">
        <w:t>ce sont ces</w:t>
      </w:r>
      <w:r w:rsidR="003A1B98">
        <w:t xml:space="preserv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bookmarkStart w:id="0" w:name="_GoBack"/>
      <w:bookmarkEnd w:id="0"/>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21118A" w:rsidP="008E4853">
      <w:pPr>
        <w:jc w:val="both"/>
      </w:pP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546100</wp:posOffset>
            </wp:positionV>
            <wp:extent cx="3169920" cy="1866900"/>
            <wp:effectExtent l="0" t="0" r="11430" b="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D7DF0">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r>
        <w:t>Au final,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21118A">
      <w:pPr>
        <w:pStyle w:val="Titre2"/>
        <w:numPr>
          <w:ilvl w:val="0"/>
          <w:numId w:val="9"/>
        </w:numPr>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w:t>
      </w:r>
      <w:r w:rsidR="00AB19B7">
        <w:t>deçà</w:t>
      </w:r>
      <w:r w:rsidR="00E203F6">
        <w:t xml:space="preserve">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 xml:space="preserve">En conséquence, pour répondre à notre problématique, il vaut mieux utiliser une mémoire de </w:t>
      </w:r>
      <w:r w:rsidRPr="0021118A">
        <w:rPr>
          <w:b/>
          <w:bCs/>
        </w:rPr>
        <w:t>faible capacité</w:t>
      </w:r>
      <w:r>
        <w:t xml:space="preserve"> pour les agents.</w:t>
      </w:r>
    </w:p>
    <w:p w:rsidR="006D1E02" w:rsidRDefault="006D1E02" w:rsidP="006D1E02">
      <w:pPr>
        <w:pStyle w:val="Titre1"/>
      </w:pPr>
      <w:r>
        <w:t>Nombre de mouvements successifs des agents</w:t>
      </w:r>
    </w:p>
    <w:p w:rsidR="00C44CBC" w:rsidRDefault="00C44CBC" w:rsidP="00C44CBC">
      <w:pPr>
        <w:pStyle w:val="Titre2"/>
        <w:numPr>
          <w:ilvl w:val="0"/>
          <w:numId w:val="5"/>
        </w:numPr>
      </w:pPr>
      <w:r>
        <w:t>Observations</w:t>
      </w:r>
    </w:p>
    <w:p w:rsidR="00FE7B85" w:rsidRDefault="00FE7B85" w:rsidP="005979C6">
      <w:pPr>
        <w:jc w:val="both"/>
      </w:pPr>
      <w:r>
        <w:t>Nous allons à présent modifier le nombre de mouvements successifs des agents, autrement dit le nombre de cases qu’ils vont parcourir en une seule étape. Nous étudierons les résultats obtenus avec i = 1, i = 2 et i = 10.</w:t>
      </w:r>
    </w:p>
    <w:p w:rsidR="005979C6" w:rsidRDefault="001D73D8" w:rsidP="005979C6">
      <w:pPr>
        <w:jc w:val="both"/>
      </w:pPr>
      <w:r>
        <w:rPr>
          <w:noProof/>
        </w:rPr>
        <w:drawing>
          <wp:anchor distT="0" distB="0" distL="114300" distR="114300" simplePos="0" relativeHeight="251681792" behindDoc="0" locked="0" layoutInCell="1" allowOverlap="1" wp14:anchorId="056A0AC4">
            <wp:simplePos x="0" y="0"/>
            <wp:positionH relativeFrom="margin">
              <wp:posOffset>-648335</wp:posOffset>
            </wp:positionH>
            <wp:positionV relativeFrom="paragraph">
              <wp:posOffset>1031875</wp:posOffset>
            </wp:positionV>
            <wp:extent cx="3337560" cy="2004060"/>
            <wp:effectExtent l="0" t="0" r="15240" b="15240"/>
            <wp:wrapTopAndBottom/>
            <wp:docPr id="24" name="Graphique 24">
              <a:extLst xmlns:a="http://schemas.openxmlformats.org/drawingml/2006/main">
                <a:ext uri="{FF2B5EF4-FFF2-40B4-BE49-F238E27FC236}">
                  <a16:creationId xmlns:a16="http://schemas.microsoft.com/office/drawing/2014/main" id="{94BD32E7-8890-46DB-8F15-22ED0238F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772414C">
            <wp:simplePos x="0" y="0"/>
            <wp:positionH relativeFrom="margin">
              <wp:posOffset>2955925</wp:posOffset>
            </wp:positionH>
            <wp:positionV relativeFrom="paragraph">
              <wp:posOffset>1024255</wp:posOffset>
            </wp:positionV>
            <wp:extent cx="3360420" cy="2011680"/>
            <wp:effectExtent l="0" t="0" r="11430" b="7620"/>
            <wp:wrapTopAndBottom/>
            <wp:docPr id="25" name="Graphique 25">
              <a:extLst xmlns:a="http://schemas.openxmlformats.org/drawingml/2006/main">
                <a:ext uri="{FF2B5EF4-FFF2-40B4-BE49-F238E27FC236}">
                  <a16:creationId xmlns:a16="http://schemas.microsoft.com/office/drawing/2014/main" id="{B12BEA10-E0FF-4A4A-AD8A-B2217E180A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5979C6">
        <w:t>Au niveau du nombre et de la taille des colonies, nous notons une forte disparité entre les valeurs i = 1 et i = 2. En effet, dans le second cas, le nombre de colonies formées par les agents croît fortement, passant de 25,9 à 118,2. En conséquence, le nombre de blocs par colonie chute drastiquement de 7,8 à 1,7. Entre i = 2 et i = 10, les différences sont quasiment inexistantes, ce qui contraste avec les écarts observés entre des mouvements successifs de 1 ou de 2 cases.</w:t>
      </w:r>
    </w:p>
    <w:p w:rsidR="001D73D8" w:rsidRDefault="001D73D8" w:rsidP="005979C6">
      <w:pPr>
        <w:jc w:val="both"/>
      </w:pPr>
    </w:p>
    <w:p w:rsidR="00D27C86" w:rsidRDefault="00740B54" w:rsidP="005979C6">
      <w:pPr>
        <w:jc w:val="both"/>
      </w:pPr>
      <w:r>
        <w:rPr>
          <w:noProof/>
        </w:rPr>
        <w:lastRenderedPageBreak/>
        <w:drawing>
          <wp:anchor distT="0" distB="0" distL="114300" distR="114300" simplePos="0" relativeHeight="251684864" behindDoc="0" locked="0" layoutInCell="1" allowOverlap="1" wp14:anchorId="4F26C659">
            <wp:simplePos x="0" y="0"/>
            <wp:positionH relativeFrom="margin">
              <wp:align>center</wp:align>
            </wp:positionH>
            <wp:positionV relativeFrom="paragraph">
              <wp:posOffset>3336925</wp:posOffset>
            </wp:positionV>
            <wp:extent cx="3604260" cy="2217420"/>
            <wp:effectExtent l="0" t="0" r="15240" b="11430"/>
            <wp:wrapTopAndBottom/>
            <wp:docPr id="27" name="Graphique 27">
              <a:extLst xmlns:a="http://schemas.openxmlformats.org/drawingml/2006/main">
                <a:ext uri="{FF2B5EF4-FFF2-40B4-BE49-F238E27FC236}">
                  <a16:creationId xmlns:a16="http://schemas.microsoft.com/office/drawing/2014/main" id="{5FA40C83-F85E-4CB1-A062-A8486A6EB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D27C86">
        <w:rPr>
          <w:noProof/>
        </w:rPr>
        <w:drawing>
          <wp:anchor distT="0" distB="0" distL="114300" distR="114300" simplePos="0" relativeHeight="251683840" behindDoc="1" locked="0" layoutInCell="1" allowOverlap="1" wp14:anchorId="17381638">
            <wp:simplePos x="0" y="0"/>
            <wp:positionH relativeFrom="margin">
              <wp:align>center</wp:align>
            </wp:positionH>
            <wp:positionV relativeFrom="paragraph">
              <wp:posOffset>1165225</wp:posOffset>
            </wp:positionV>
            <wp:extent cx="3794760" cy="2072640"/>
            <wp:effectExtent l="0" t="0" r="15240" b="3810"/>
            <wp:wrapTopAndBottom/>
            <wp:docPr id="26" name="Graphique 26">
              <a:extLst xmlns:a="http://schemas.openxmlformats.org/drawingml/2006/main">
                <a:ext uri="{FF2B5EF4-FFF2-40B4-BE49-F238E27FC236}">
                  <a16:creationId xmlns:a16="http://schemas.microsoft.com/office/drawing/2014/main" id="{4E85766D-12A6-403E-8DB4-590E8BB69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D27C86">
        <w:t>Par ailleurs, la proportion d’erreurs de voisinage augmente elle aussi énormément lorsque nous passons de 1 à 2 mouvements successifs (0,45% d’erreur contre 43,7%). Pour i = 10, les erreurs de voisinage dépassent même les 50%.</w:t>
      </w:r>
      <w:r>
        <w:t xml:space="preserve"> En parallèle, de moins en moins de blocs sont déposés par les agents au moment de la fin de la simulation. Là où nous avions 98,7% de blocs posés pour i = 1, nous n’en avons plus que 93,95% pour i = 10 (évolution linéaire). Ainsi, les erreurs de voisinage sont plus nombreuses alors même qu’il y a moins de blocs sur la grille.</w:t>
      </w:r>
    </w:p>
    <w:p w:rsidR="00740B54" w:rsidRPr="00FE7B85" w:rsidRDefault="00740B54" w:rsidP="005979C6">
      <w:pPr>
        <w:jc w:val="both"/>
      </w:pPr>
    </w:p>
    <w:p w:rsidR="00F10624" w:rsidRDefault="00F10624" w:rsidP="00F10624">
      <w:pPr>
        <w:pStyle w:val="Titre2"/>
      </w:pPr>
      <w:r>
        <w:t>Analyse</w:t>
      </w:r>
    </w:p>
    <w:p w:rsidR="00740B54" w:rsidRDefault="00740B54" w:rsidP="00740B54">
      <w:pPr>
        <w:jc w:val="both"/>
      </w:pPr>
      <w:r>
        <w:t>D’après les résultats que nous avons obtenus, nous pouvons affirmer qu’augmenter le nombre de mouvements successifs nuit aux résultats de bien des manières. Tout d’abord, les agents sont moins à même de déposer les blocs au moment de l’arrêt de la simulation mais ils créent également plus de colonies et introduisent davantage d’erreurs de voisinage.</w:t>
      </w:r>
    </w:p>
    <w:p w:rsidR="00740B54" w:rsidRPr="00740B54" w:rsidRDefault="00740B54" w:rsidP="00740B54">
      <w:pPr>
        <w:jc w:val="both"/>
      </w:pPr>
      <w:r>
        <w:t xml:space="preserve">Il convient donc de conserver un nombre de mouvements successifs égal à </w:t>
      </w:r>
      <w:r w:rsidRPr="0021118A">
        <w:rPr>
          <w:b/>
          <w:bCs/>
        </w:rPr>
        <w:t>1</w:t>
      </w:r>
      <w:r>
        <w:t xml:space="preserve"> pour maximiser les chances de réussite.</w:t>
      </w:r>
    </w:p>
    <w:p w:rsidR="006D1E02" w:rsidRDefault="006D1E02" w:rsidP="006D1E02">
      <w:pPr>
        <w:pStyle w:val="Titre1"/>
      </w:pPr>
      <w:r>
        <w:t>K +</w:t>
      </w:r>
    </w:p>
    <w:p w:rsidR="00C44CBC" w:rsidRDefault="00C44CBC" w:rsidP="00C44CBC">
      <w:pPr>
        <w:pStyle w:val="Titre2"/>
        <w:numPr>
          <w:ilvl w:val="0"/>
          <w:numId w:val="6"/>
        </w:numPr>
      </w:pPr>
      <w:r>
        <w:t>Observations</w:t>
      </w:r>
    </w:p>
    <w:p w:rsidR="00C44CBC" w:rsidRDefault="00C44CBC" w:rsidP="00C44CBC">
      <w:pPr>
        <w:jc w:val="both"/>
      </w:pPr>
      <w:r>
        <w:t>Intéressons-nous à présent aux différences de résultats obtenues lors de la modification du paramètre K+. Pour nos tests, nous avons choisi d’utiliser les valeurs K+ = 0.1, K+ = 0.3, K+ = 0.5 et K+ = 0.9.</w:t>
      </w:r>
    </w:p>
    <w:p w:rsidR="001B0C91" w:rsidRDefault="001B0C91" w:rsidP="00C44CBC">
      <w:pPr>
        <w:jc w:val="both"/>
      </w:pPr>
      <w:r>
        <w:rPr>
          <w:noProof/>
        </w:rPr>
        <w:lastRenderedPageBreak/>
        <w:drawing>
          <wp:anchor distT="0" distB="0" distL="114300" distR="114300" simplePos="0" relativeHeight="251673600" behindDoc="0" locked="0" layoutInCell="1" allowOverlap="1" wp14:anchorId="71D67EC9">
            <wp:simplePos x="0" y="0"/>
            <wp:positionH relativeFrom="margin">
              <wp:align>center</wp:align>
            </wp:positionH>
            <wp:positionV relativeFrom="paragraph">
              <wp:posOffset>873125</wp:posOffset>
            </wp:positionV>
            <wp:extent cx="3291840" cy="2065020"/>
            <wp:effectExtent l="0" t="0" r="3810" b="11430"/>
            <wp:wrapTopAndBottom/>
            <wp:docPr id="16" name="Graphique 16">
              <a:extLst xmlns:a="http://schemas.openxmlformats.org/drawingml/2006/main">
                <a:ext uri="{FF2B5EF4-FFF2-40B4-BE49-F238E27FC236}">
                  <a16:creationId xmlns:a16="http://schemas.microsoft.com/office/drawing/2014/main" id="{CCEDB7E1-8515-4676-B210-60EC3603A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C44CBC">
        <w:t>Nous avons ainsi pu constater que le nombre et la taille des colonies formées par les agents ne changeait pas de manière significative en fonction de ce paramètre. En revanche, nous avons remarqué que plus K+ était proche de 1, plus la proportion d’erreurs de voisinage augmentait, jusqu’à dépasser 1% pour K+ = 0.9.</w:t>
      </w:r>
    </w:p>
    <w:p w:rsidR="001B0C91" w:rsidRDefault="001B0C91" w:rsidP="00C44CBC">
      <w:pPr>
        <w:jc w:val="both"/>
      </w:pPr>
    </w:p>
    <w:p w:rsidR="00C44CBC" w:rsidRDefault="00C44CBC" w:rsidP="00C44CBC">
      <w:pPr>
        <w:jc w:val="both"/>
      </w:pPr>
      <w:r>
        <w:t xml:space="preserve">En parallèle, nous observons que de moins en moins de blocs sont posés en fin de simulation lorsque K+ augmente alors que les erreurs </w:t>
      </w:r>
      <w:r w:rsidR="001B0C91">
        <w:t>continuent de croître</w:t>
      </w:r>
      <w:r>
        <w:t>.</w:t>
      </w:r>
    </w:p>
    <w:p w:rsidR="001B0C91" w:rsidRDefault="001B0C91" w:rsidP="001B0C91">
      <w:pPr>
        <w:pStyle w:val="Titre2"/>
      </w:pPr>
      <w:r>
        <w:t>Analyse</w:t>
      </w:r>
    </w:p>
    <w:p w:rsidR="001B0C91" w:rsidRPr="001B0C91" w:rsidRDefault="001B0C91" w:rsidP="001B0C91">
      <w:pPr>
        <w:jc w:val="both"/>
      </w:pPr>
      <w:r>
        <w:t xml:space="preserve">Finalement, nous pouvons conclure que choisir une valeur de K+ </w:t>
      </w:r>
      <w:r w:rsidRPr="0021118A">
        <w:rPr>
          <w:b/>
          <w:bCs/>
        </w:rPr>
        <w:t>proche de 0</w:t>
      </w:r>
      <w:r>
        <w:t xml:space="preserve"> est bénéfique dans notre système. En effet, cela permet de réduire les erreurs de voisinage sans impacter le nombre et la taille des colonies formées de manière significative.</w:t>
      </w:r>
    </w:p>
    <w:p w:rsidR="006D1E02" w:rsidRDefault="006D1E02" w:rsidP="006D1E02">
      <w:pPr>
        <w:pStyle w:val="Titre1"/>
      </w:pPr>
      <w:r>
        <w:t>K –</w:t>
      </w:r>
    </w:p>
    <w:p w:rsidR="00F10624" w:rsidRDefault="00F10624" w:rsidP="00F10624">
      <w:pPr>
        <w:pStyle w:val="Titre2"/>
        <w:numPr>
          <w:ilvl w:val="0"/>
          <w:numId w:val="8"/>
        </w:numPr>
      </w:pPr>
      <w:r>
        <w:t>Observations</w:t>
      </w:r>
    </w:p>
    <w:p w:rsidR="00D772C1" w:rsidRDefault="00D772C1" w:rsidP="00D772C1">
      <w:r>
        <w:t>Nous allons dans cette partie nous intéresser aux valeurs possibles pour le paramètre K-. Nous avons pour cela relevé les résultats obtenus avec les valeurs K- = 0.1, K- = 0.3 et K- = 0.9.</w:t>
      </w:r>
    </w:p>
    <w:p w:rsidR="00C61350" w:rsidRDefault="00C61350" w:rsidP="00C61350">
      <w:pPr>
        <w:jc w:val="both"/>
      </w:pPr>
      <w:r>
        <w:rPr>
          <w:noProof/>
        </w:rPr>
        <w:drawing>
          <wp:anchor distT="0" distB="0" distL="114300" distR="114300" simplePos="0" relativeHeight="251677696" behindDoc="0" locked="0" layoutInCell="1" allowOverlap="1" wp14:anchorId="761B82E4">
            <wp:simplePos x="0" y="0"/>
            <wp:positionH relativeFrom="column">
              <wp:posOffset>-534035</wp:posOffset>
            </wp:positionH>
            <wp:positionV relativeFrom="paragraph">
              <wp:posOffset>686435</wp:posOffset>
            </wp:positionV>
            <wp:extent cx="3162300" cy="1973580"/>
            <wp:effectExtent l="0" t="0" r="0" b="7620"/>
            <wp:wrapTopAndBottom/>
            <wp:docPr id="20" name="Graphique 20">
              <a:extLst xmlns:a="http://schemas.openxmlformats.org/drawingml/2006/main">
                <a:ext uri="{FF2B5EF4-FFF2-40B4-BE49-F238E27FC236}">
                  <a16:creationId xmlns:a16="http://schemas.microsoft.com/office/drawing/2014/main" id="{AB32FE59-AF37-4411-B8A5-69A7FA76E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3E4B2123">
            <wp:simplePos x="0" y="0"/>
            <wp:positionH relativeFrom="margin">
              <wp:posOffset>2834005</wp:posOffset>
            </wp:positionH>
            <wp:positionV relativeFrom="paragraph">
              <wp:posOffset>686435</wp:posOffset>
            </wp:positionV>
            <wp:extent cx="3520440" cy="1973580"/>
            <wp:effectExtent l="0" t="0" r="3810" b="7620"/>
            <wp:wrapTopAndBottom/>
            <wp:docPr id="21" name="Graphique 21">
              <a:extLst xmlns:a="http://schemas.openxmlformats.org/drawingml/2006/main">
                <a:ext uri="{FF2B5EF4-FFF2-40B4-BE49-F238E27FC236}">
                  <a16:creationId xmlns:a16="http://schemas.microsoft.com/office/drawing/2014/main" id="{2FC29CFE-DE15-411A-8075-B757CA6F1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t>Dans un premier temps, nous nous apercevons que lorsque K- s’approche de 1, le nombre de colonies diminue tandis que leur taille augmente, et ce de manière linéaire (cf. courbes de tendance sur les graphiques ci-dessous).</w:t>
      </w:r>
    </w:p>
    <w:p w:rsidR="00C61350" w:rsidRDefault="00C61350" w:rsidP="00C61350">
      <w:pPr>
        <w:jc w:val="both"/>
      </w:pPr>
    </w:p>
    <w:p w:rsidR="00C61350" w:rsidRDefault="006E7BB5" w:rsidP="00C61350">
      <w:pPr>
        <w:jc w:val="both"/>
      </w:pPr>
      <w:r>
        <w:rPr>
          <w:noProof/>
        </w:rPr>
        <w:lastRenderedPageBreak/>
        <w:drawing>
          <wp:anchor distT="0" distB="0" distL="114300" distR="114300" simplePos="0" relativeHeight="251679744" behindDoc="0" locked="0" layoutInCell="1" allowOverlap="1" wp14:anchorId="2DA3BC04">
            <wp:simplePos x="0" y="0"/>
            <wp:positionH relativeFrom="margin">
              <wp:align>center</wp:align>
            </wp:positionH>
            <wp:positionV relativeFrom="paragraph">
              <wp:posOffset>1066165</wp:posOffset>
            </wp:positionV>
            <wp:extent cx="3550920" cy="1897380"/>
            <wp:effectExtent l="0" t="0" r="11430" b="7620"/>
            <wp:wrapTopAndBottom/>
            <wp:docPr id="22" name="Graphique 22">
              <a:extLst xmlns:a="http://schemas.openxmlformats.org/drawingml/2006/main">
                <a:ext uri="{FF2B5EF4-FFF2-40B4-BE49-F238E27FC236}">
                  <a16:creationId xmlns:a16="http://schemas.microsoft.com/office/drawing/2014/main" id="{C4F5CDE9-CCA3-41B6-8C98-243E7894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1F3C0FF9">
            <wp:simplePos x="0" y="0"/>
            <wp:positionH relativeFrom="margin">
              <wp:align>center</wp:align>
            </wp:positionH>
            <wp:positionV relativeFrom="paragraph">
              <wp:posOffset>3062605</wp:posOffset>
            </wp:positionV>
            <wp:extent cx="3550920" cy="1874520"/>
            <wp:effectExtent l="0" t="0" r="11430" b="11430"/>
            <wp:wrapTopAndBottom/>
            <wp:docPr id="23" name="Graphique 23">
              <a:extLst xmlns:a="http://schemas.openxmlformats.org/drawingml/2006/main">
                <a:ext uri="{FF2B5EF4-FFF2-40B4-BE49-F238E27FC236}">
                  <a16:creationId xmlns:a16="http://schemas.microsoft.com/office/drawing/2014/main" id="{D2D97429-19EA-4873-AF34-2C2C70F2C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C61350">
        <w:t>De plus, lorsque K- croît, le pourcentage d’erreurs de voisinage chute, passant de 2% pour K- = 0.1 à 0% pour K- = 0.9. En parallèle, nous constatons que la proportion de blocs posés en fin de simulation est inversement proportionnelle à K-, allant de 99,8% pour K- = 0.1 à 96% pour K- = 0.9. Ainsi, même si les erreurs de voisinage sont</w:t>
      </w:r>
      <w:r>
        <w:t>, à priori, réduites, il est difficile de tirer de véritables conclusions puisque de plus en plus de blocs sont soulevés par les agents au moment de la fin de la simulation.</w:t>
      </w:r>
    </w:p>
    <w:p w:rsidR="006E7BB5" w:rsidRPr="00D772C1" w:rsidRDefault="006E7BB5" w:rsidP="00C61350">
      <w:pPr>
        <w:jc w:val="both"/>
      </w:pPr>
    </w:p>
    <w:p w:rsidR="00F10624" w:rsidRDefault="00F10624" w:rsidP="00F10624">
      <w:pPr>
        <w:pStyle w:val="Titre2"/>
      </w:pPr>
      <w:r>
        <w:t>Analyse</w:t>
      </w:r>
    </w:p>
    <w:p w:rsidR="001F6538" w:rsidRPr="001F6538" w:rsidRDefault="001F6538" w:rsidP="001F6538">
      <w:pPr>
        <w:jc w:val="both"/>
      </w:pPr>
      <w:r>
        <w:t xml:space="preserve">Pour conclure, nous remarquons qu’augmenter la valeur de K- peut, certes, se révéler efficace pour réduire à la fois les erreurs de voisinage et le nombre de colonies mais que ces améliorations se font au détriment du nombre de blocs posés par les agents. La solution la plus adaptée semble alors d’utiliser </w:t>
      </w:r>
      <w:r w:rsidRPr="0021118A">
        <w:rPr>
          <w:b/>
          <w:bCs/>
        </w:rPr>
        <w:t>K- = 0.3</w:t>
      </w:r>
      <w:r>
        <w:t xml:space="preserve"> puisque c’est cette valeur offre le meilleur compromis parmi celles que nous avons testées.</w:t>
      </w:r>
    </w:p>
    <w:p w:rsidR="003D0A52" w:rsidRDefault="006D1E02" w:rsidP="003606D4">
      <w:pPr>
        <w:pStyle w:val="Titre1"/>
      </w:pPr>
      <w:r>
        <w:t>Erreur</w:t>
      </w:r>
    </w:p>
    <w:p w:rsidR="00AB19B7" w:rsidRDefault="00AB19B7" w:rsidP="00AB19B7">
      <w:pPr>
        <w:pStyle w:val="Titre2"/>
        <w:numPr>
          <w:ilvl w:val="0"/>
          <w:numId w:val="7"/>
        </w:numPr>
      </w:pPr>
      <w:r>
        <w:t>Observations</w:t>
      </w:r>
    </w:p>
    <w:p w:rsidR="00AB19B7" w:rsidRDefault="007545CB" w:rsidP="00AB19B7">
      <w:pPr>
        <w:jc w:val="both"/>
      </w:pPr>
      <w:r>
        <w:t>Nous allons maintenant</w:t>
      </w:r>
      <w:r w:rsidR="00667FF6">
        <w:t xml:space="preserve"> ajouter</w:t>
      </w:r>
      <w:r w:rsidR="00AB19B7">
        <w:t xml:space="preserve"> des erreurs dans la mémoire des agents. A chaque prise de bloc, l’agent aura alors une certaine probabilité de se tromper et d’ajouter le mauvais bloc à sa mémoire.</w:t>
      </w:r>
      <w:r w:rsidR="00873E6F">
        <w:t xml:space="preserve"> Pour nos tests, nous considérerons des probabilités de 0, 0.1, 0.2, 0.3, 0.5, et 0.9.</w:t>
      </w:r>
    </w:p>
    <w:p w:rsidR="00F10624" w:rsidRDefault="00E65223" w:rsidP="00AB19B7">
      <w:pPr>
        <w:jc w:val="both"/>
      </w:pPr>
      <w:r>
        <w:rPr>
          <w:noProof/>
        </w:rPr>
        <w:lastRenderedPageBreak/>
        <w:drawing>
          <wp:anchor distT="0" distB="0" distL="114300" distR="114300" simplePos="0" relativeHeight="251675648" behindDoc="0" locked="0" layoutInCell="1" allowOverlap="1" wp14:anchorId="6076B97C">
            <wp:simplePos x="0" y="0"/>
            <wp:positionH relativeFrom="column">
              <wp:posOffset>-579755</wp:posOffset>
            </wp:positionH>
            <wp:positionV relativeFrom="paragraph">
              <wp:posOffset>801370</wp:posOffset>
            </wp:positionV>
            <wp:extent cx="3375660" cy="1950720"/>
            <wp:effectExtent l="0" t="0" r="15240" b="11430"/>
            <wp:wrapTopAndBottom/>
            <wp:docPr id="18" name="Graphique 18">
              <a:extLst xmlns:a="http://schemas.openxmlformats.org/drawingml/2006/main">
                <a:ext uri="{FF2B5EF4-FFF2-40B4-BE49-F238E27FC236}">
                  <a16:creationId xmlns:a16="http://schemas.microsoft.com/office/drawing/2014/main" id="{126ECD0F-909A-479C-9B77-66F3AA0E44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19BB9BF">
            <wp:simplePos x="0" y="0"/>
            <wp:positionH relativeFrom="column">
              <wp:posOffset>2917825</wp:posOffset>
            </wp:positionH>
            <wp:positionV relativeFrom="paragraph">
              <wp:posOffset>808990</wp:posOffset>
            </wp:positionV>
            <wp:extent cx="3474720" cy="1958340"/>
            <wp:effectExtent l="0" t="0" r="11430" b="3810"/>
            <wp:wrapTopAndBottom/>
            <wp:docPr id="19" name="Graphique 19">
              <a:extLst xmlns:a="http://schemas.openxmlformats.org/drawingml/2006/main">
                <a:ext uri="{FF2B5EF4-FFF2-40B4-BE49-F238E27FC236}">
                  <a16:creationId xmlns:a16="http://schemas.microsoft.com/office/drawing/2014/main" id="{F6E48053-FD58-4853-8B89-F6E7B1BD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F10624">
        <w:t>Pour commencer, nous voyons avec les graphiques ci-dessous qu’augmenter l’erreur influence à la fois le nombre et la taille des colonies formées. En effet, plus l’erreur est importante, plus les colonies sont nombreuses et moins densément peuplées.</w:t>
      </w:r>
      <w:r>
        <w:t xml:space="preserve"> Ainsi, nous passons de 28,7 colonies pour une erreur de 0 à 45,4 colonies en moyenne pour une erreur de 0,9.</w:t>
      </w:r>
    </w:p>
    <w:p w:rsidR="00E65223" w:rsidRDefault="00E65223" w:rsidP="00AB19B7">
      <w:pPr>
        <w:jc w:val="both"/>
      </w:pPr>
    </w:p>
    <w:p w:rsidR="00E65223" w:rsidRDefault="00E65223" w:rsidP="00AB19B7">
      <w:pPr>
        <w:jc w:val="both"/>
      </w:pPr>
      <w:r>
        <w:rPr>
          <w:noProof/>
        </w:rPr>
        <w:drawing>
          <wp:anchor distT="0" distB="0" distL="114300" distR="114300" simplePos="0" relativeHeight="251674624" behindDoc="0" locked="0" layoutInCell="1" allowOverlap="1" wp14:anchorId="415B3A9D">
            <wp:simplePos x="0" y="0"/>
            <wp:positionH relativeFrom="margin">
              <wp:align>center</wp:align>
            </wp:positionH>
            <wp:positionV relativeFrom="paragraph">
              <wp:posOffset>609600</wp:posOffset>
            </wp:positionV>
            <wp:extent cx="3718560" cy="2148840"/>
            <wp:effectExtent l="0" t="0" r="15240" b="3810"/>
            <wp:wrapTopAndBottom/>
            <wp:docPr id="17" name="Graphique 17">
              <a:extLst xmlns:a="http://schemas.openxmlformats.org/drawingml/2006/main">
                <a:ext uri="{FF2B5EF4-FFF2-40B4-BE49-F238E27FC236}">
                  <a16:creationId xmlns:a16="http://schemas.microsoft.com/office/drawing/2014/main" id="{BCAEC394-06C3-475E-8A8B-D1E2D6B5C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t>D’autre part, nous avons observé que plus l’erreur était proche de 1, plus la proportion d’erreurs de voisinage augmentait. Alors que nous avons un pourcentage de A voisins de B de 0,14% pour e = 0, nous passons à 46,3% pour e = 0.9.</w:t>
      </w:r>
    </w:p>
    <w:p w:rsidR="00E65223" w:rsidRDefault="00E65223" w:rsidP="00AB19B7">
      <w:pPr>
        <w:jc w:val="both"/>
      </w:pPr>
    </w:p>
    <w:p w:rsidR="00F10624" w:rsidRDefault="00F10624" w:rsidP="00F10624">
      <w:pPr>
        <w:pStyle w:val="Titre2"/>
      </w:pPr>
      <w:r>
        <w:t>Analyse</w:t>
      </w:r>
    </w:p>
    <w:p w:rsidR="007545CB" w:rsidRDefault="00E65223" w:rsidP="00AB19B7">
      <w:pPr>
        <w:jc w:val="both"/>
      </w:pPr>
      <w:r>
        <w:t xml:space="preserve">Ajouter la notion d’erreur ne s’est pas révélé bénéfique pour notre algorithme. En effet, nous avons considérablement augmenté le pourcentage d’erreurs de tri tout en créant plus de colonies. Il vaut donc mieux laisser l’erreur à </w:t>
      </w:r>
      <w:r w:rsidRPr="0021118A">
        <w:rPr>
          <w:b/>
          <w:bCs/>
        </w:rPr>
        <w:t>0</w:t>
      </w:r>
      <w:r>
        <w:t xml:space="preserve"> pour éviter une dégradation des résultats.</w:t>
      </w:r>
    </w:p>
    <w:p w:rsidR="0021118A" w:rsidRDefault="0021118A" w:rsidP="00AB19B7">
      <w:pPr>
        <w:jc w:val="both"/>
      </w:pPr>
    </w:p>
    <w:p w:rsidR="0021118A" w:rsidRDefault="0021118A" w:rsidP="0021118A">
      <w:pPr>
        <w:pStyle w:val="Titre1"/>
      </w:pPr>
      <w:r>
        <w:t>Conclusion</w:t>
      </w:r>
    </w:p>
    <w:p w:rsidR="0021118A" w:rsidRDefault="0021118A" w:rsidP="00C81818">
      <w:pPr>
        <w:jc w:val="both"/>
      </w:pPr>
      <w:r>
        <w:t xml:space="preserve">Pour conclure, l’analyse des différents paramètres </w:t>
      </w:r>
      <w:r w:rsidR="00BC724A">
        <w:t>nous a permis de tirer plusieurs conjectures quant aux valeurs à privilégier pour obtenir de bons résul</w:t>
      </w:r>
      <w:r w:rsidR="00C81818">
        <w:t>t</w:t>
      </w:r>
      <w:r w:rsidR="00BC724A">
        <w:t>ats.</w:t>
      </w:r>
      <w:r w:rsidR="00C81818">
        <w:t xml:space="preserve"> Le tableau ci-dessous récapitule les observations faites paramètre par paramètre.</w:t>
      </w:r>
    </w:p>
    <w:tbl>
      <w:tblPr>
        <w:tblStyle w:val="Grilledutableau"/>
        <w:tblW w:w="10873" w:type="dxa"/>
        <w:jc w:val="center"/>
        <w:tblLook w:val="04A0" w:firstRow="1" w:lastRow="0" w:firstColumn="1" w:lastColumn="0" w:noHBand="0" w:noVBand="1"/>
      </w:tblPr>
      <w:tblGrid>
        <w:gridCol w:w="1115"/>
        <w:gridCol w:w="1115"/>
        <w:gridCol w:w="1876"/>
        <w:gridCol w:w="1585"/>
        <w:gridCol w:w="1207"/>
        <w:gridCol w:w="1635"/>
        <w:gridCol w:w="841"/>
        <w:gridCol w:w="585"/>
        <w:gridCol w:w="914"/>
      </w:tblGrid>
      <w:tr w:rsidR="00D7032E" w:rsidTr="00D7032E">
        <w:trPr>
          <w:trHeight w:val="1125"/>
          <w:jc w:val="center"/>
        </w:trPr>
        <w:tc>
          <w:tcPr>
            <w:tcW w:w="1115" w:type="dxa"/>
          </w:tcPr>
          <w:p w:rsidR="00D7032E" w:rsidRPr="007A55B9" w:rsidRDefault="00D7032E" w:rsidP="00A13165">
            <w:pPr>
              <w:jc w:val="center"/>
              <w:rPr>
                <w:b/>
                <w:bCs/>
              </w:rPr>
            </w:pPr>
            <w:r w:rsidRPr="007A55B9">
              <w:rPr>
                <w:b/>
                <w:bCs/>
              </w:rPr>
              <w:lastRenderedPageBreak/>
              <w:t>Nombre de blocs A</w:t>
            </w:r>
          </w:p>
        </w:tc>
        <w:tc>
          <w:tcPr>
            <w:tcW w:w="1115" w:type="dxa"/>
          </w:tcPr>
          <w:p w:rsidR="00D7032E" w:rsidRPr="007A55B9" w:rsidRDefault="00D7032E" w:rsidP="00A13165">
            <w:pPr>
              <w:jc w:val="center"/>
              <w:rPr>
                <w:b/>
                <w:bCs/>
              </w:rPr>
            </w:pPr>
            <w:r w:rsidRPr="007A55B9">
              <w:rPr>
                <w:b/>
                <w:bCs/>
              </w:rPr>
              <w:t>Nombre de blocs B</w:t>
            </w:r>
          </w:p>
        </w:tc>
        <w:tc>
          <w:tcPr>
            <w:tcW w:w="1876" w:type="dxa"/>
          </w:tcPr>
          <w:p w:rsidR="00D7032E" w:rsidRPr="007A55B9" w:rsidRDefault="00D7032E" w:rsidP="00A13165">
            <w:pPr>
              <w:jc w:val="center"/>
              <w:rPr>
                <w:b/>
                <w:bCs/>
              </w:rPr>
            </w:pPr>
            <w:r>
              <w:rPr>
                <w:b/>
                <w:bCs/>
              </w:rPr>
              <w:t>Taille de la grille</w:t>
            </w:r>
          </w:p>
        </w:tc>
        <w:tc>
          <w:tcPr>
            <w:tcW w:w="1585" w:type="dxa"/>
          </w:tcPr>
          <w:p w:rsidR="00D7032E" w:rsidRPr="007A55B9" w:rsidRDefault="00D7032E" w:rsidP="00A13165">
            <w:pPr>
              <w:jc w:val="center"/>
              <w:rPr>
                <w:b/>
                <w:bCs/>
              </w:rPr>
            </w:pPr>
            <w:r w:rsidRPr="007A55B9">
              <w:rPr>
                <w:b/>
                <w:bCs/>
              </w:rPr>
              <w:t>Nombre d’agents</w:t>
            </w:r>
          </w:p>
        </w:tc>
        <w:tc>
          <w:tcPr>
            <w:tcW w:w="1207" w:type="dxa"/>
          </w:tcPr>
          <w:p w:rsidR="00D7032E" w:rsidRPr="007A55B9" w:rsidRDefault="00D7032E" w:rsidP="00A13165">
            <w:pPr>
              <w:jc w:val="center"/>
              <w:rPr>
                <w:b/>
                <w:bCs/>
              </w:rPr>
            </w:pPr>
            <w:r w:rsidRPr="007A55B9">
              <w:rPr>
                <w:b/>
                <w:bCs/>
              </w:rPr>
              <w:t>Taille de la mémoire des agents</w:t>
            </w:r>
          </w:p>
        </w:tc>
        <w:tc>
          <w:tcPr>
            <w:tcW w:w="1635" w:type="dxa"/>
          </w:tcPr>
          <w:p w:rsidR="00D7032E" w:rsidRPr="007A55B9" w:rsidRDefault="00D7032E" w:rsidP="00A13165">
            <w:pPr>
              <w:jc w:val="center"/>
              <w:rPr>
                <w:b/>
                <w:bCs/>
              </w:rPr>
            </w:pPr>
            <w:r w:rsidRPr="007A55B9">
              <w:rPr>
                <w:b/>
                <w:bCs/>
              </w:rPr>
              <w:t>Nombre de mouvements successifs des agents</w:t>
            </w:r>
          </w:p>
        </w:tc>
        <w:tc>
          <w:tcPr>
            <w:tcW w:w="841" w:type="dxa"/>
          </w:tcPr>
          <w:p w:rsidR="00D7032E" w:rsidRPr="007A55B9" w:rsidRDefault="00D7032E" w:rsidP="00A13165">
            <w:pPr>
              <w:jc w:val="center"/>
              <w:rPr>
                <w:b/>
                <w:bCs/>
              </w:rPr>
            </w:pPr>
            <w:r w:rsidRPr="007A55B9">
              <w:rPr>
                <w:b/>
                <w:bCs/>
              </w:rPr>
              <w:t>K +</w:t>
            </w:r>
          </w:p>
        </w:tc>
        <w:tc>
          <w:tcPr>
            <w:tcW w:w="585" w:type="dxa"/>
          </w:tcPr>
          <w:p w:rsidR="00D7032E" w:rsidRPr="007A55B9" w:rsidRDefault="00D7032E" w:rsidP="00A13165">
            <w:pPr>
              <w:jc w:val="center"/>
              <w:rPr>
                <w:b/>
                <w:bCs/>
              </w:rPr>
            </w:pPr>
            <w:r w:rsidRPr="007A55B9">
              <w:rPr>
                <w:b/>
                <w:bCs/>
              </w:rPr>
              <w:t>K -</w:t>
            </w:r>
          </w:p>
        </w:tc>
        <w:tc>
          <w:tcPr>
            <w:tcW w:w="914" w:type="dxa"/>
          </w:tcPr>
          <w:p w:rsidR="00D7032E" w:rsidRPr="007A55B9" w:rsidRDefault="00D7032E" w:rsidP="00A13165">
            <w:pPr>
              <w:jc w:val="center"/>
              <w:rPr>
                <w:b/>
                <w:bCs/>
              </w:rPr>
            </w:pPr>
            <w:r w:rsidRPr="007A55B9">
              <w:rPr>
                <w:b/>
                <w:bCs/>
              </w:rPr>
              <w:t>Erreur</w:t>
            </w:r>
          </w:p>
        </w:tc>
      </w:tr>
      <w:tr w:rsidR="00D7032E" w:rsidTr="00D7032E">
        <w:trPr>
          <w:trHeight w:val="349"/>
          <w:jc w:val="center"/>
        </w:trPr>
        <w:tc>
          <w:tcPr>
            <w:tcW w:w="1115" w:type="dxa"/>
            <w:vAlign w:val="center"/>
          </w:tcPr>
          <w:p w:rsidR="00D7032E" w:rsidRDefault="00D7032E" w:rsidP="00D7032E">
            <w:pPr>
              <w:jc w:val="center"/>
            </w:pPr>
            <w:r>
              <w:t>100</w:t>
            </w:r>
          </w:p>
        </w:tc>
        <w:tc>
          <w:tcPr>
            <w:tcW w:w="1115" w:type="dxa"/>
            <w:vAlign w:val="center"/>
          </w:tcPr>
          <w:p w:rsidR="00D7032E" w:rsidRDefault="00D7032E" w:rsidP="00D7032E">
            <w:pPr>
              <w:jc w:val="center"/>
            </w:pPr>
            <w:r>
              <w:t>Égal au nombre de blocs A</w:t>
            </w:r>
          </w:p>
        </w:tc>
        <w:tc>
          <w:tcPr>
            <w:tcW w:w="1876" w:type="dxa"/>
            <w:vAlign w:val="center"/>
          </w:tcPr>
          <w:p w:rsidR="00D7032E" w:rsidRDefault="00D7032E" w:rsidP="00D7032E">
            <w:pPr>
              <w:jc w:val="center"/>
            </w:pPr>
            <w:r>
              <w:t>Telle qu’il y ait environ 12,5% de blocs</w:t>
            </w:r>
          </w:p>
        </w:tc>
        <w:tc>
          <w:tcPr>
            <w:tcW w:w="1585" w:type="dxa"/>
            <w:vAlign w:val="center"/>
          </w:tcPr>
          <w:p w:rsidR="00D7032E" w:rsidRDefault="00D7032E" w:rsidP="00D7032E">
            <w:pPr>
              <w:jc w:val="center"/>
            </w:pPr>
            <w:r>
              <w:t>Inférieur à un dixième du nombre total de blocs</w:t>
            </w:r>
          </w:p>
        </w:tc>
        <w:tc>
          <w:tcPr>
            <w:tcW w:w="1207" w:type="dxa"/>
            <w:vAlign w:val="center"/>
          </w:tcPr>
          <w:p w:rsidR="00D7032E" w:rsidRDefault="00D7032E" w:rsidP="00D7032E">
            <w:pPr>
              <w:jc w:val="center"/>
            </w:pPr>
            <w:r>
              <w:t xml:space="preserve">Petite (5 ou </w:t>
            </w:r>
            <w:r>
              <w:t>15</w:t>
            </w:r>
            <w:r>
              <w:t>)</w:t>
            </w:r>
          </w:p>
        </w:tc>
        <w:tc>
          <w:tcPr>
            <w:tcW w:w="1635" w:type="dxa"/>
            <w:vAlign w:val="center"/>
          </w:tcPr>
          <w:p w:rsidR="00D7032E" w:rsidRDefault="00D7032E" w:rsidP="00D7032E">
            <w:pPr>
              <w:jc w:val="center"/>
            </w:pPr>
            <w:r>
              <w:t>1</w:t>
            </w:r>
          </w:p>
        </w:tc>
        <w:tc>
          <w:tcPr>
            <w:tcW w:w="841" w:type="dxa"/>
            <w:vAlign w:val="center"/>
          </w:tcPr>
          <w:p w:rsidR="00D7032E" w:rsidRDefault="00D7032E" w:rsidP="00D7032E">
            <w:pPr>
              <w:jc w:val="center"/>
            </w:pPr>
            <w:r>
              <w:t>Proche de 0 (</w:t>
            </w:r>
            <w:r>
              <w:t>0,1</w:t>
            </w:r>
            <w:r>
              <w:t>)</w:t>
            </w:r>
          </w:p>
        </w:tc>
        <w:tc>
          <w:tcPr>
            <w:tcW w:w="585" w:type="dxa"/>
            <w:vAlign w:val="center"/>
          </w:tcPr>
          <w:p w:rsidR="00D7032E" w:rsidRDefault="00D7032E" w:rsidP="00D7032E">
            <w:pPr>
              <w:jc w:val="center"/>
            </w:pPr>
            <w:r>
              <w:t>0,3</w:t>
            </w:r>
          </w:p>
        </w:tc>
        <w:tc>
          <w:tcPr>
            <w:tcW w:w="914" w:type="dxa"/>
            <w:vAlign w:val="center"/>
          </w:tcPr>
          <w:p w:rsidR="00D7032E" w:rsidRDefault="00D7032E" w:rsidP="00D7032E">
            <w:pPr>
              <w:jc w:val="center"/>
            </w:pPr>
            <w:r>
              <w:t>0</w:t>
            </w:r>
          </w:p>
        </w:tc>
      </w:tr>
    </w:tbl>
    <w:p w:rsidR="00C81818" w:rsidRDefault="00C81818" w:rsidP="00C81818">
      <w:pPr>
        <w:jc w:val="both"/>
      </w:pPr>
    </w:p>
    <w:p w:rsidR="00C81818" w:rsidRPr="0021118A" w:rsidRDefault="00C81818" w:rsidP="00C81818">
      <w:pPr>
        <w:jc w:val="both"/>
      </w:pPr>
      <w:r>
        <w:t>D’un point de vue personnel, ce TP nous a permis d’approfondir nos connaissances en intelligence artificielle tout en implémentant un nouveau système multi-agents. Nous avons également pu voir, grâce à l’analyse des résultats obtenus lors des simulations, l’influence que pouvaient avoir les changements, en apparence anodins, des paramètres en entrée.</w:t>
      </w:r>
    </w:p>
    <w:sectPr w:rsidR="00C81818" w:rsidRPr="002111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9FD" w:rsidRDefault="007579FD" w:rsidP="003D0A52">
      <w:pPr>
        <w:spacing w:after="0" w:line="240" w:lineRule="auto"/>
      </w:pPr>
      <w:r>
        <w:separator/>
      </w:r>
    </w:p>
  </w:endnote>
  <w:endnote w:type="continuationSeparator" w:id="0">
    <w:p w:rsidR="007579FD" w:rsidRDefault="007579FD"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9FD" w:rsidRDefault="007579FD" w:rsidP="003D0A52">
      <w:pPr>
        <w:spacing w:after="0" w:line="240" w:lineRule="auto"/>
      </w:pPr>
      <w:r>
        <w:separator/>
      </w:r>
    </w:p>
  </w:footnote>
  <w:footnote w:type="continuationSeparator" w:id="0">
    <w:p w:rsidR="007579FD" w:rsidRDefault="007579FD"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B0C91"/>
    <w:rsid w:val="001C3B2C"/>
    <w:rsid w:val="001D73D8"/>
    <w:rsid w:val="001F6538"/>
    <w:rsid w:val="0021118A"/>
    <w:rsid w:val="00275674"/>
    <w:rsid w:val="002F331C"/>
    <w:rsid w:val="003108FE"/>
    <w:rsid w:val="0031468C"/>
    <w:rsid w:val="003606D4"/>
    <w:rsid w:val="003615B6"/>
    <w:rsid w:val="00364332"/>
    <w:rsid w:val="00384F07"/>
    <w:rsid w:val="003850AB"/>
    <w:rsid w:val="003A1B98"/>
    <w:rsid w:val="003B162B"/>
    <w:rsid w:val="003B61A1"/>
    <w:rsid w:val="003D0A52"/>
    <w:rsid w:val="003E51B4"/>
    <w:rsid w:val="00417135"/>
    <w:rsid w:val="00422DA7"/>
    <w:rsid w:val="00492C9C"/>
    <w:rsid w:val="004C2984"/>
    <w:rsid w:val="004D082D"/>
    <w:rsid w:val="005248DC"/>
    <w:rsid w:val="00584481"/>
    <w:rsid w:val="005979C6"/>
    <w:rsid w:val="0061429E"/>
    <w:rsid w:val="006530D0"/>
    <w:rsid w:val="00667FF6"/>
    <w:rsid w:val="00674F38"/>
    <w:rsid w:val="006B1028"/>
    <w:rsid w:val="006D1E02"/>
    <w:rsid w:val="006E7BB5"/>
    <w:rsid w:val="00714E1D"/>
    <w:rsid w:val="00740B54"/>
    <w:rsid w:val="00753AFA"/>
    <w:rsid w:val="007545CB"/>
    <w:rsid w:val="007579FD"/>
    <w:rsid w:val="007A55B9"/>
    <w:rsid w:val="00850E15"/>
    <w:rsid w:val="0086148C"/>
    <w:rsid w:val="00873E6F"/>
    <w:rsid w:val="008926D5"/>
    <w:rsid w:val="008B6184"/>
    <w:rsid w:val="008E4853"/>
    <w:rsid w:val="008F4508"/>
    <w:rsid w:val="008F6653"/>
    <w:rsid w:val="009E3E50"/>
    <w:rsid w:val="009E52C3"/>
    <w:rsid w:val="00A9363C"/>
    <w:rsid w:val="00AB19B7"/>
    <w:rsid w:val="00AF4652"/>
    <w:rsid w:val="00B13771"/>
    <w:rsid w:val="00B20AED"/>
    <w:rsid w:val="00B41596"/>
    <w:rsid w:val="00BB641B"/>
    <w:rsid w:val="00BC724A"/>
    <w:rsid w:val="00BE1A3A"/>
    <w:rsid w:val="00BF18BC"/>
    <w:rsid w:val="00C44CBC"/>
    <w:rsid w:val="00C61350"/>
    <w:rsid w:val="00C751A4"/>
    <w:rsid w:val="00C81818"/>
    <w:rsid w:val="00C87D85"/>
    <w:rsid w:val="00CA101F"/>
    <w:rsid w:val="00CA2ABE"/>
    <w:rsid w:val="00CB26DF"/>
    <w:rsid w:val="00D11697"/>
    <w:rsid w:val="00D27C86"/>
    <w:rsid w:val="00D7032E"/>
    <w:rsid w:val="00D772C1"/>
    <w:rsid w:val="00E203F6"/>
    <w:rsid w:val="00E65223"/>
    <w:rsid w:val="00E9467E"/>
    <w:rsid w:val="00EF3758"/>
    <w:rsid w:val="00F10624"/>
    <w:rsid w:val="00F30497"/>
    <w:rsid w:val="00FA50A3"/>
    <w:rsid w:val="00FE7B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776E"/>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theme" Target="theme/theme1.xml"/><Relationship Id="rId21" Type="http://schemas.openxmlformats.org/officeDocument/2006/relationships/chart" Target="charts/chart11.xml"/><Relationship Id="rId34" Type="http://schemas.openxmlformats.org/officeDocument/2006/relationships/chart" Target="charts/chart24.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header" Target="header2.xml"/><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6864080294684194E-2"/>
                  <c:y val="8.068315665488810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R² = 0,9906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mouvements successifs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(i)'!$G$14,'Moves (i)'!$G$31,'Moves (i)'!$G$48)</c:f>
              <c:numCache>
                <c:formatCode>General</c:formatCode>
                <c:ptCount val="3"/>
                <c:pt idx="0">
                  <c:v>25.9</c:v>
                </c:pt>
                <c:pt idx="1">
                  <c:v>118.2</c:v>
                </c:pt>
                <c:pt idx="2">
                  <c:v>116.2</c:v>
                </c:pt>
              </c:numCache>
            </c:numRef>
          </c:yVal>
          <c:smooth val="0"/>
          <c:extLst>
            <c:ext xmlns:c16="http://schemas.microsoft.com/office/drawing/2014/chart" uri="{C3380CC4-5D6E-409C-BE32-E72D297353CC}">
              <c16:uniqueId val="{00000000-7BE3-4DE9-B609-6D5449F93460}"/>
            </c:ext>
          </c:extLst>
        </c:ser>
        <c:dLbls>
          <c:showLegendKey val="0"/>
          <c:showVal val="0"/>
          <c:showCatName val="0"/>
          <c:showSerName val="0"/>
          <c:showPercent val="0"/>
          <c:showBubbleSize val="0"/>
        </c:dLbls>
        <c:axId val="896455296"/>
        <c:axId val="709410816"/>
      </c:scatterChart>
      <c:valAx>
        <c:axId val="89645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410816"/>
        <c:crosses val="autoZero"/>
        <c:crossBetween val="midCat"/>
      </c:valAx>
      <c:valAx>
        <c:axId val="70941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455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moyenne d'une colonie en fonction du nombre de mouvements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(i)'!$H$14,'Moves (i)'!$H$31,'Moves (i)'!$H$48)</c:f>
              <c:numCache>
                <c:formatCode>General</c:formatCode>
                <c:ptCount val="3"/>
                <c:pt idx="0">
                  <c:v>7.7870032305275938</c:v>
                </c:pt>
                <c:pt idx="1">
                  <c:v>1.6819178241816435</c:v>
                </c:pt>
                <c:pt idx="2">
                  <c:v>1.6208390158958212</c:v>
                </c:pt>
              </c:numCache>
            </c:numRef>
          </c:yVal>
          <c:smooth val="0"/>
          <c:extLst>
            <c:ext xmlns:c16="http://schemas.microsoft.com/office/drawing/2014/chart" uri="{C3380CC4-5D6E-409C-BE32-E72D297353CC}">
              <c16:uniqueId val="{00000000-8CBE-4C2E-85C0-5D2EC2CA1CF7}"/>
            </c:ext>
          </c:extLst>
        </c:ser>
        <c:dLbls>
          <c:showLegendKey val="0"/>
          <c:showVal val="0"/>
          <c:showCatName val="0"/>
          <c:showSerName val="0"/>
          <c:showPercent val="0"/>
          <c:showBubbleSize val="0"/>
        </c:dLbls>
        <c:axId val="896834112"/>
        <c:axId val="900187984"/>
      </c:scatterChart>
      <c:valAx>
        <c:axId val="89683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187984"/>
        <c:crosses val="autoZero"/>
        <c:crossBetween val="midCat"/>
      </c:valAx>
      <c:valAx>
        <c:axId val="9001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34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a:t>
            </a:r>
            <a:r>
              <a:rPr lang="fr-FR" sz="1200" baseline="0"/>
              <a:t> fonction du nombre de mouvements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C00000"/>
              </a:solidFill>
              <a:ln w="9525">
                <a:noFill/>
              </a:ln>
              <a:effectLst/>
            </c:spPr>
          </c:marker>
          <c:trendline>
            <c:spPr>
              <a:ln w="19050" cap="rnd">
                <a:solidFill>
                  <a:srgbClr val="C00000"/>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('Moves (i)'!$G$2,'Moves (i)'!$G$19,'Moves (i)'!$G$36)</c:f>
              <c:numCache>
                <c:formatCode>General</c:formatCode>
                <c:ptCount val="3"/>
                <c:pt idx="0">
                  <c:v>1</c:v>
                </c:pt>
                <c:pt idx="1">
                  <c:v>2</c:v>
                </c:pt>
                <c:pt idx="2">
                  <c:v>10</c:v>
                </c:pt>
              </c:numCache>
            </c:numRef>
          </c:xVal>
          <c:yVal>
            <c:numRef>
              <c:f>('Moves (i)'!$L$14,'Moves (i)'!$L$31,'Moves (i)'!$L$48)</c:f>
              <c:numCache>
                <c:formatCode>General</c:formatCode>
                <c:ptCount val="3"/>
                <c:pt idx="0">
                  <c:v>0.98699999999999999</c:v>
                </c:pt>
                <c:pt idx="1">
                  <c:v>0.98250000000000004</c:v>
                </c:pt>
                <c:pt idx="2">
                  <c:v>0.93949999999999989</c:v>
                </c:pt>
              </c:numCache>
            </c:numRef>
          </c:yVal>
          <c:smooth val="0"/>
          <c:extLst>
            <c:ext xmlns:c16="http://schemas.microsoft.com/office/drawing/2014/chart" uri="{C3380CC4-5D6E-409C-BE32-E72D297353CC}">
              <c16:uniqueId val="{00000001-828A-4DCC-9F04-3B6EC0393C46}"/>
            </c:ext>
          </c:extLst>
        </c:ser>
        <c:dLbls>
          <c:showLegendKey val="0"/>
          <c:showVal val="0"/>
          <c:showCatName val="0"/>
          <c:showSerName val="0"/>
          <c:showPercent val="0"/>
          <c:showBubbleSize val="0"/>
        </c:dLbls>
        <c:axId val="700530512"/>
        <c:axId val="908485296"/>
      </c:scatterChart>
      <c:valAx>
        <c:axId val="70053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8485296"/>
        <c:crosses val="autoZero"/>
        <c:crossBetween val="midCat"/>
      </c:valAx>
      <c:valAx>
        <c:axId val="90848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0530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mouvements</a:t>
            </a:r>
            <a:r>
              <a:rPr lang="fr-FR" sz="1200" baseline="0"/>
              <a:t> successifs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C00000"/>
              </a:solidFill>
              <a:round/>
            </a:ln>
            <a:effectLst/>
          </c:spPr>
          <c:marker>
            <c:symbol val="circle"/>
            <c:size val="5"/>
            <c:spPr>
              <a:solidFill>
                <a:srgbClr val="C00000"/>
              </a:solidFill>
              <a:ln w="9525">
                <a:solidFill>
                  <a:srgbClr val="C00000"/>
                </a:solidFill>
              </a:ln>
              <a:effectLst/>
            </c:spPr>
          </c:marker>
          <c:xVal>
            <c:numRef>
              <c:f>('Moves (i)'!$G$2,'Moves (i)'!$G$19,'Moves (i)'!$G$36)</c:f>
              <c:numCache>
                <c:formatCode>General</c:formatCode>
                <c:ptCount val="3"/>
                <c:pt idx="0">
                  <c:v>1</c:v>
                </c:pt>
                <c:pt idx="1">
                  <c:v>2</c:v>
                </c:pt>
                <c:pt idx="2">
                  <c:v>10</c:v>
                </c:pt>
              </c:numCache>
            </c:numRef>
          </c:xVal>
          <c:yVal>
            <c:numRef>
              <c:f>('Moves (i)'!$E$14,'Moves (i)'!$E$31,'Moves (i)'!$E$48)</c:f>
              <c:numCache>
                <c:formatCode>General</c:formatCode>
                <c:ptCount val="3"/>
                <c:pt idx="0">
                  <c:v>4.5464003329171868E-3</c:v>
                </c:pt>
                <c:pt idx="1">
                  <c:v>0.43789431487426284</c:v>
                </c:pt>
                <c:pt idx="2">
                  <c:v>0.50460321215764226</c:v>
                </c:pt>
              </c:numCache>
            </c:numRef>
          </c:yVal>
          <c:smooth val="0"/>
          <c:extLst>
            <c:ext xmlns:c16="http://schemas.microsoft.com/office/drawing/2014/chart" uri="{C3380CC4-5D6E-409C-BE32-E72D297353CC}">
              <c16:uniqueId val="{00000000-EFBA-4D22-ACC7-66D8203BAC1A}"/>
            </c:ext>
          </c:extLst>
        </c:ser>
        <c:dLbls>
          <c:showLegendKey val="0"/>
          <c:showVal val="0"/>
          <c:showCatName val="0"/>
          <c:showSerName val="0"/>
          <c:showPercent val="0"/>
          <c:showBubbleSize val="0"/>
        </c:dLbls>
        <c:axId val="916507472"/>
        <c:axId val="916330288"/>
      </c:scatterChart>
      <c:valAx>
        <c:axId val="91650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6330288"/>
        <c:crosses val="autoZero"/>
        <c:crossBetween val="midCat"/>
      </c:valAx>
      <c:valAx>
        <c:axId val="91633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6507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8509902171319498E-2"/>
                  <c:y val="0.1160188457008245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R² = 0,9736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trendline>
            <c:spPr>
              <a:ln w="19050" cap="rnd">
                <a:solidFill>
                  <a:schemeClr val="accent1"/>
                </a:solidFill>
                <a:prstDash val="sysDot"/>
              </a:ln>
              <a:effectLst/>
            </c:spPr>
            <c:trendlineType val="linear"/>
            <c:dispRSqr val="0"/>
            <c:dispEq val="0"/>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a:t>
            </a:r>
            <a:r>
              <a:rPr lang="fr-FR" sz="1200" baseline="0"/>
              <a:t> de K+</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('K+'!$I$2,'K+'!$I$19,'K+'!$I$36,'K+'!$I$53)</c:f>
              <c:numCache>
                <c:formatCode>General</c:formatCode>
                <c:ptCount val="4"/>
                <c:pt idx="0">
                  <c:v>0.1</c:v>
                </c:pt>
                <c:pt idx="1">
                  <c:v>0.3</c:v>
                </c:pt>
                <c:pt idx="2">
                  <c:v>0.5</c:v>
                </c:pt>
                <c:pt idx="3">
                  <c:v>0.9</c:v>
                </c:pt>
              </c:numCache>
            </c:numRef>
          </c:xVal>
          <c:yVal>
            <c:numRef>
              <c:f>('K+'!$E$14,'K+'!$E$31,'K+'!$E$48,'K+'!$E$65)</c:f>
              <c:numCache>
                <c:formatCode>General</c:formatCode>
                <c:ptCount val="4"/>
                <c:pt idx="0">
                  <c:v>1.2658227848101266E-3</c:v>
                </c:pt>
                <c:pt idx="1">
                  <c:v>2.9984780737170422E-3</c:v>
                </c:pt>
                <c:pt idx="2">
                  <c:v>9.1758864138023807E-3</c:v>
                </c:pt>
                <c:pt idx="3">
                  <c:v>1.1810269732603264E-2</c:v>
                </c:pt>
              </c:numCache>
            </c:numRef>
          </c:yVal>
          <c:smooth val="0"/>
          <c:extLst>
            <c:ext xmlns:c16="http://schemas.microsoft.com/office/drawing/2014/chart" uri="{C3380CC4-5D6E-409C-BE32-E72D297353CC}">
              <c16:uniqueId val="{00000000-8EEF-42E3-9D33-9B2845D36DB8}"/>
            </c:ext>
          </c:extLst>
        </c:ser>
        <c:dLbls>
          <c:showLegendKey val="0"/>
          <c:showVal val="0"/>
          <c:showCatName val="0"/>
          <c:showSerName val="0"/>
          <c:showPercent val="0"/>
          <c:showBubbleSize val="0"/>
        </c:dLbls>
        <c:axId val="896841712"/>
        <c:axId val="911075504"/>
      </c:scatterChart>
      <c:valAx>
        <c:axId val="89684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075504"/>
        <c:crosses val="autoZero"/>
        <c:crossBetween val="midCat"/>
      </c:valAx>
      <c:valAx>
        <c:axId val="9110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4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1.6710411198600175E-4"/>
                  <c:y val="3.18099300087489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('K-'!$G$14,'K-'!$G$31,'K-'!$G$48)</c:f>
              <c:numCache>
                <c:formatCode>General</c:formatCode>
                <c:ptCount val="3"/>
                <c:pt idx="0">
                  <c:v>30.5</c:v>
                </c:pt>
                <c:pt idx="1">
                  <c:v>28.3</c:v>
                </c:pt>
                <c:pt idx="2">
                  <c:v>22.2</c:v>
                </c:pt>
              </c:numCache>
            </c:numRef>
          </c:yVal>
          <c:smooth val="0"/>
          <c:extLst>
            <c:ext xmlns:c16="http://schemas.microsoft.com/office/drawing/2014/chart" uri="{C3380CC4-5D6E-409C-BE32-E72D297353CC}">
              <c16:uniqueId val="{00000001-F59D-4907-A349-3BD395637965}"/>
            </c:ext>
          </c:extLst>
        </c:ser>
        <c:dLbls>
          <c:showLegendKey val="0"/>
          <c:showVal val="0"/>
          <c:showCatName val="0"/>
          <c:showSerName val="0"/>
          <c:showPercent val="0"/>
          <c:showBubbleSize val="0"/>
        </c:dLbls>
        <c:axId val="903675584"/>
        <c:axId val="901880288"/>
      </c:scatterChart>
      <c:valAx>
        <c:axId val="9036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880288"/>
        <c:crosses val="autoZero"/>
        <c:crossBetween val="midCat"/>
      </c:valAx>
      <c:valAx>
        <c:axId val="90188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3675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trendline>
            <c:spPr>
              <a:ln w="19050" cap="rnd">
                <a:solidFill>
                  <a:srgbClr val="002060"/>
                </a:solidFill>
                <a:prstDash val="sysDot"/>
              </a:ln>
              <a:effectLst/>
            </c:spPr>
            <c:trendlineType val="linear"/>
            <c:dispRSqr val="1"/>
            <c:dispEq val="0"/>
            <c:trendlineLbl>
              <c:layout>
                <c:manualLayout>
                  <c:x val="-3.0374612264376044E-2"/>
                  <c:y val="-5.98455598455598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('K-'!$H$14,'K-'!$H$31,'K-'!$H$48)</c:f>
              <c:numCache>
                <c:formatCode>General</c:formatCode>
                <c:ptCount val="3"/>
                <c:pt idx="0">
                  <c:v>6.6862419560973505</c:v>
                </c:pt>
                <c:pt idx="1">
                  <c:v>7.0110744011735395</c:v>
                </c:pt>
                <c:pt idx="2">
                  <c:v>8.8984047081798217</c:v>
                </c:pt>
              </c:numCache>
            </c:numRef>
          </c:yVal>
          <c:smooth val="0"/>
          <c:extLst>
            <c:ext xmlns:c16="http://schemas.microsoft.com/office/drawing/2014/chart" uri="{C3380CC4-5D6E-409C-BE32-E72D297353CC}">
              <c16:uniqueId val="{00000001-67ED-4812-B26F-C56EFE175076}"/>
            </c:ext>
          </c:extLst>
        </c:ser>
        <c:dLbls>
          <c:showLegendKey val="0"/>
          <c:showVal val="0"/>
          <c:showCatName val="0"/>
          <c:showSerName val="0"/>
          <c:showPercent val="0"/>
          <c:showBubbleSize val="0"/>
        </c:dLbls>
        <c:axId val="904780912"/>
        <c:axId val="783985168"/>
      </c:scatterChart>
      <c:valAx>
        <c:axId val="9047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3985168"/>
        <c:crosses val="autoZero"/>
        <c:crossBetween val="midCat"/>
      </c:valAx>
      <c:valAx>
        <c:axId val="78398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78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a:t>
            </a:r>
            <a:r>
              <a:rPr lang="fr-FR" sz="1200" baseline="0"/>
              <a:t> de blocs A voisins de blocs B en fonction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002060"/>
              </a:solidFill>
              <a:round/>
            </a:ln>
            <a:effectLst/>
          </c:spPr>
          <c:marker>
            <c:symbol val="circle"/>
            <c:size val="5"/>
            <c:spPr>
              <a:solidFill>
                <a:srgbClr val="002060"/>
              </a:solidFill>
              <a:ln w="9525">
                <a:solidFill>
                  <a:srgbClr val="002060"/>
                </a:solidFill>
              </a:ln>
              <a:effectLst/>
            </c:spPr>
          </c:marker>
          <c:xVal>
            <c:numRef>
              <c:f>('K-'!$H$2,'K-'!$H$19,'K-'!$H$36)</c:f>
              <c:numCache>
                <c:formatCode>General</c:formatCode>
                <c:ptCount val="3"/>
                <c:pt idx="0">
                  <c:v>0.1</c:v>
                </c:pt>
                <c:pt idx="1">
                  <c:v>0.3</c:v>
                </c:pt>
                <c:pt idx="2">
                  <c:v>0.9</c:v>
                </c:pt>
              </c:numCache>
            </c:numRef>
          </c:xVal>
          <c:yVal>
            <c:numRef>
              <c:f>('K-'!$E$14,'K-'!$E$31,'K-'!$E$48)</c:f>
              <c:numCache>
                <c:formatCode>General</c:formatCode>
                <c:ptCount val="3"/>
                <c:pt idx="0">
                  <c:v>2.0444219178495367E-2</c:v>
                </c:pt>
                <c:pt idx="1">
                  <c:v>2.7247956403269756E-4</c:v>
                </c:pt>
                <c:pt idx="2">
                  <c:v>0</c:v>
                </c:pt>
              </c:numCache>
            </c:numRef>
          </c:yVal>
          <c:smooth val="0"/>
          <c:extLst>
            <c:ext xmlns:c16="http://schemas.microsoft.com/office/drawing/2014/chart" uri="{C3380CC4-5D6E-409C-BE32-E72D297353CC}">
              <c16:uniqueId val="{00000000-4806-4F3B-9C2F-38AC1CAE7211}"/>
            </c:ext>
          </c:extLst>
        </c:ser>
        <c:dLbls>
          <c:showLegendKey val="0"/>
          <c:showVal val="0"/>
          <c:showCatName val="0"/>
          <c:showSerName val="0"/>
          <c:showPercent val="0"/>
          <c:showBubbleSize val="0"/>
        </c:dLbls>
        <c:axId val="721934240"/>
        <c:axId val="786179392"/>
      </c:scatterChart>
      <c:valAx>
        <c:axId val="72193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179392"/>
        <c:crosses val="autoZero"/>
        <c:crossBetween val="midCat"/>
      </c:valAx>
      <c:valAx>
        <c:axId val="78617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934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a:t>
            </a:r>
            <a:r>
              <a:rPr lang="fr-FR" sz="1200" baseline="0"/>
              <a:t> de K -</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noFill/>
              </a:ln>
              <a:effectLst/>
            </c:spPr>
          </c:marker>
          <c:trendline>
            <c:spPr>
              <a:ln w="19050" cap="rnd">
                <a:solidFill>
                  <a:srgbClr val="002060"/>
                </a:solidFill>
                <a:prstDash val="sysDot"/>
              </a:ln>
              <a:effectLst/>
            </c:spPr>
            <c:trendlineType val="linear"/>
            <c:dispRSqr val="1"/>
            <c:dispEq val="0"/>
            <c:trendlineLbl>
              <c:layout>
                <c:manualLayout>
                  <c:x val="-1.965660542432196E-2"/>
                  <c:y val="-2.017716535433070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('K-'!$H$2,'K-'!$H$19,'K-'!$H$36)</c:f>
              <c:numCache>
                <c:formatCode>General</c:formatCode>
                <c:ptCount val="3"/>
                <c:pt idx="0">
                  <c:v>0.1</c:v>
                </c:pt>
                <c:pt idx="1">
                  <c:v>0.3</c:v>
                </c:pt>
                <c:pt idx="2">
                  <c:v>0.9</c:v>
                </c:pt>
              </c:numCache>
            </c:numRef>
          </c:xVal>
          <c:yVal>
            <c:numRef>
              <c:f>('K-'!$L$14,'K-'!$L$31,'K-'!$L$48)</c:f>
              <c:numCache>
                <c:formatCode>General</c:formatCode>
                <c:ptCount val="3"/>
                <c:pt idx="0">
                  <c:v>0.998</c:v>
                </c:pt>
                <c:pt idx="1">
                  <c:v>0.9830000000000001</c:v>
                </c:pt>
                <c:pt idx="2">
                  <c:v>0.96</c:v>
                </c:pt>
              </c:numCache>
            </c:numRef>
          </c:yVal>
          <c:smooth val="0"/>
          <c:extLst>
            <c:ext xmlns:c16="http://schemas.microsoft.com/office/drawing/2014/chart" uri="{C3380CC4-5D6E-409C-BE32-E72D297353CC}">
              <c16:uniqueId val="{00000001-97E3-4100-A5CE-5CF81CC2A0D7}"/>
            </c:ext>
          </c:extLst>
        </c:ser>
        <c:dLbls>
          <c:showLegendKey val="0"/>
          <c:showVal val="0"/>
          <c:showCatName val="0"/>
          <c:showSerName val="0"/>
          <c:showPercent val="0"/>
          <c:showBubbleSize val="0"/>
        </c:dLbls>
        <c:axId val="782356832"/>
        <c:axId val="697588144"/>
      </c:scatterChart>
      <c:valAx>
        <c:axId val="78235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7588144"/>
        <c:crosses val="autoZero"/>
        <c:crossBetween val="midCat"/>
      </c:valAx>
      <c:valAx>
        <c:axId val="69758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35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a:t>
            </a:r>
            <a:r>
              <a:rPr lang="fr-FR" sz="1200" baseline="0"/>
              <a:t>de colonies en fonction de l'erreur</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(e)'!$G$14,'Error (e)'!$G$31,'Error (e)'!$G$48,'Error (e)'!$G$65,'Error (e)'!$G$82,'Error (e)'!$G$99)</c:f>
              <c:numCache>
                <c:formatCode>General</c:formatCode>
                <c:ptCount val="6"/>
                <c:pt idx="0">
                  <c:v>28.7</c:v>
                </c:pt>
                <c:pt idx="1">
                  <c:v>35.5</c:v>
                </c:pt>
                <c:pt idx="2">
                  <c:v>35.4</c:v>
                </c:pt>
                <c:pt idx="3">
                  <c:v>36.799999999999997</c:v>
                </c:pt>
                <c:pt idx="4">
                  <c:v>36.799999999999997</c:v>
                </c:pt>
                <c:pt idx="5">
                  <c:v>45.4</c:v>
                </c:pt>
              </c:numCache>
            </c:numRef>
          </c:yVal>
          <c:smooth val="0"/>
          <c:extLst>
            <c:ext xmlns:c16="http://schemas.microsoft.com/office/drawing/2014/chart" uri="{C3380CC4-5D6E-409C-BE32-E72D297353CC}">
              <c16:uniqueId val="{00000000-8017-4371-9B08-73D363B7FD60}"/>
            </c:ext>
          </c:extLst>
        </c:ser>
        <c:dLbls>
          <c:showLegendKey val="0"/>
          <c:showVal val="0"/>
          <c:showCatName val="0"/>
          <c:showSerName val="0"/>
          <c:showPercent val="0"/>
          <c:showBubbleSize val="0"/>
        </c:dLbls>
        <c:axId val="898640320"/>
        <c:axId val="703477744"/>
      </c:scatterChart>
      <c:valAx>
        <c:axId val="89864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3477744"/>
        <c:crosses val="autoZero"/>
        <c:crossBetween val="midCat"/>
      </c:valAx>
      <c:valAx>
        <c:axId val="7034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864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(e)'!$H$14,'Error (e)'!$H$31,'Error (e)'!$H$48,'Error (e)'!$H$65,'Error (e)'!$H$82,'Error (e)'!$H$99)</c:f>
              <c:numCache>
                <c:formatCode>General</c:formatCode>
                <c:ptCount val="6"/>
                <c:pt idx="0">
                  <c:v>7.0874840732126616</c:v>
                </c:pt>
                <c:pt idx="1">
                  <c:v>5.6500997294612789</c:v>
                </c:pt>
                <c:pt idx="2">
                  <c:v>5.6616164770979456</c:v>
                </c:pt>
                <c:pt idx="3">
                  <c:v>5.4274118516209624</c:v>
                </c:pt>
                <c:pt idx="4">
                  <c:v>5.4815343774913519</c:v>
                </c:pt>
                <c:pt idx="5">
                  <c:v>4.4317876564631717</c:v>
                </c:pt>
              </c:numCache>
            </c:numRef>
          </c:yVal>
          <c:smooth val="0"/>
          <c:extLst>
            <c:ext xmlns:c16="http://schemas.microsoft.com/office/drawing/2014/chart" uri="{C3380CC4-5D6E-409C-BE32-E72D297353CC}">
              <c16:uniqueId val="{00000000-65DC-4A08-A8ED-CD05FB45FFD4}"/>
            </c:ext>
          </c:extLst>
        </c:ser>
        <c:dLbls>
          <c:showLegendKey val="0"/>
          <c:showVal val="0"/>
          <c:showCatName val="0"/>
          <c:showSerName val="0"/>
          <c:showPercent val="0"/>
          <c:showBubbleSize val="0"/>
        </c:dLbls>
        <c:axId val="1268722431"/>
        <c:axId val="1341295743"/>
      </c:scatterChart>
      <c:valAx>
        <c:axId val="126872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1295743"/>
        <c:crosses val="autoZero"/>
        <c:crossBetween val="midCat"/>
      </c:valAx>
      <c:valAx>
        <c:axId val="134129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68722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(e)'!$E$14,'Error (e)'!$E$31,'Error (e)'!$E$48,'Error (e)'!$E$65,'Error (e)'!$E$82,'Error (e)'!$E$99)</c:f>
              <c:numCache>
                <c:formatCode>General</c:formatCode>
                <c:ptCount val="6"/>
                <c:pt idx="0">
                  <c:v>1.3980349508737719E-3</c:v>
                </c:pt>
                <c:pt idx="1">
                  <c:v>3.3881070079199813E-2</c:v>
                </c:pt>
                <c:pt idx="2">
                  <c:v>0.14125553944947081</c:v>
                </c:pt>
                <c:pt idx="3">
                  <c:v>0.28764140654082598</c:v>
                </c:pt>
                <c:pt idx="4">
                  <c:v>0.36746251929099494</c:v>
                </c:pt>
                <c:pt idx="5">
                  <c:v>0.4631895249124498</c:v>
                </c:pt>
              </c:numCache>
            </c:numRef>
          </c:yVal>
          <c:smooth val="0"/>
          <c:extLst>
            <c:ext xmlns:c16="http://schemas.microsoft.com/office/drawing/2014/chart" uri="{C3380CC4-5D6E-409C-BE32-E72D297353CC}">
              <c16:uniqueId val="{00000000-6E91-4706-881A-DCCCA679C57E}"/>
            </c:ext>
          </c:extLst>
        </c:ser>
        <c:dLbls>
          <c:showLegendKey val="0"/>
          <c:showVal val="0"/>
          <c:showCatName val="0"/>
          <c:showSerName val="0"/>
          <c:showPercent val="0"/>
          <c:showBubbleSize val="0"/>
        </c:dLbls>
        <c:axId val="632873440"/>
        <c:axId val="633766208"/>
      </c:scatterChart>
      <c:valAx>
        <c:axId val="6328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766208"/>
        <c:crosses val="autoZero"/>
        <c:crossBetween val="midCat"/>
      </c:valAx>
      <c:valAx>
        <c:axId val="633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87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withinLinear" id="16">
  <a:schemeClr val="accent3"/>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1059-ACE2-44B5-9D43-CFAF8C7B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14</Pages>
  <Words>2418</Words>
  <Characters>13304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48</cp:revision>
  <dcterms:created xsi:type="dcterms:W3CDTF">2020-02-12T13:42:00Z</dcterms:created>
  <dcterms:modified xsi:type="dcterms:W3CDTF">2020-02-15T12:39:00Z</dcterms:modified>
</cp:coreProperties>
</file>