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79cd71d2b420ea34e5bc6e67daf5ef693495280"/>
    <w:p>
      <w:pPr>
        <w:pStyle w:val="Heading1"/>
      </w:pPr>
      <w:r>
        <w:rPr>
          <w:b/>
          <w:bCs/>
        </w:rPr>
        <w:t xml:space="preserve">Blood-Normal but Ineffective Biomarker States: A Comprehensive Review</w:t>
      </w:r>
    </w:p>
    <w:bookmarkStart w:id="28" w:name="terminology-and-definitional-landscape"/>
    <w:p>
      <w:pPr>
        <w:pStyle w:val="Heading2"/>
      </w:pPr>
      <w:r>
        <w:rPr>
          <w:b/>
          <w:bCs/>
        </w:rPr>
        <w:t xml:space="preserve">Terminology and Definitional Landscape</w:t>
      </w:r>
    </w:p>
    <w:p>
      <w:pPr>
        <w:pStyle w:val="FirstParagraph"/>
      </w:pPr>
      <w:r>
        <w:t xml:space="preserve">Clinicians have long observed cases where a patient’s</w:t>
      </w:r>
      <w:r>
        <w:t xml:space="preserve"> </w:t>
      </w:r>
      <w:r>
        <w:rPr>
          <w:b/>
          <w:bCs/>
        </w:rPr>
        <w:t xml:space="preserve">serum biomarker levels are “normal”</w:t>
      </w:r>
      <w:r>
        <w:t xml:space="preserve"> </w:t>
      </w:r>
      <w:r>
        <w:t xml:space="preserve">by standard lab references, yet the patient exhibits signs of deficiency because the body</w:t>
      </w:r>
      <w:r>
        <w:t xml:space="preserve"> </w:t>
      </w:r>
      <w:r>
        <w:rPr>
          <w:b/>
          <w:bCs/>
        </w:rPr>
        <w:t xml:space="preserve">cannot effectively utilize the biomarker</w:t>
      </w:r>
      <w:r>
        <w:t xml:space="preserve">. There is no single universal term for this phenomenon, but several overlapping terms exist in medical literature:</w:t>
      </w:r>
    </w:p>
    <w:p>
      <w:pPr>
        <w:numPr>
          <w:ilvl w:val="0"/>
          <w:numId w:val="1001"/>
        </w:numPr>
      </w:pPr>
      <w:r>
        <w:rPr>
          <w:b/>
          <w:bCs/>
        </w:rPr>
        <w:t xml:space="preserve">Functional Deficiency:</w:t>
      </w:r>
      <w:r>
        <w:t xml:space="preserve"> </w:t>
      </w:r>
      <w:r>
        <w:t xml:space="preserve">A general term indicating that despite normal or even high circulating levels of a nutrient or hormone, there is a physiological shortfall at the tissue or cellular level</w:t>
      </w:r>
      <w:hyperlink r:id="rId21">
        <w:r>
          <w:rPr>
            <w:rStyle w:val="Hyperlink"/>
          </w:rPr>
          <w:t xml:space="preserve">[1]</w:t>
        </w:r>
      </w:hyperlink>
      <w:r>
        <w:t xml:space="preserve">. For example,</w:t>
      </w:r>
      <w:r>
        <w:t xml:space="preserve"> </w:t>
      </w:r>
      <w:r>
        <w:rPr>
          <w:b/>
          <w:bCs/>
        </w:rPr>
        <w:t xml:space="preserve">functional vitamin B₁₂ deficiency</w:t>
      </w:r>
      <w:r>
        <w:t xml:space="preserve"> </w:t>
      </w:r>
      <w:r>
        <w:t xml:space="preserve">can occur with normal serum B₁₂ but low intracellular B₁₂ activity</w:t>
      </w:r>
      <w:hyperlink r:id="rId22">
        <w:r>
          <w:rPr>
            <w:rStyle w:val="Hyperlink"/>
          </w:rPr>
          <w:t xml:space="preserve">[2]</w:t>
        </w:r>
      </w:hyperlink>
      <w:r>
        <w:t xml:space="preserve">. Similarly,</w:t>
      </w:r>
      <w:r>
        <w:t xml:space="preserve"> </w:t>
      </w:r>
      <w:r>
        <w:rPr>
          <w:b/>
          <w:bCs/>
        </w:rPr>
        <w:t xml:space="preserve">functional folate deficiency</w:t>
      </w:r>
      <w:r>
        <w:t xml:space="preserve"> </w:t>
      </w:r>
      <w:r>
        <w:t xml:space="preserve">may be present despite normal folic acid levels. In one case, a patient had megaloblastic anemia with B₁₂ = 910 pg/mL and folate = 10.3 ng/mL (both “within range”), indicating a functional deficiency identified only via elevated methylmalonic acid or homocysteine</w:t>
      </w:r>
      <w:hyperlink r:id="rId23">
        <w:r>
          <w:rPr>
            <w:rStyle w:val="Hyperlink"/>
          </w:rPr>
          <w:t xml:space="preserve">[3]</w:t>
        </w:r>
      </w:hyperlink>
      <w:r>
        <w:t xml:space="preserve">. In short,</w:t>
      </w:r>
      <w:r>
        <w:t xml:space="preserve"> </w:t>
      </w:r>
      <w:r>
        <w:rPr>
          <w:i/>
          <w:iCs/>
        </w:rPr>
        <w:t xml:space="preserve">normal serum levels do not exclude low tissue levels or functional deficiency</w:t>
      </w:r>
      <w:hyperlink r:id="rId21">
        <w:r>
          <w:rPr>
            <w:rStyle w:val="Hyperlink"/>
          </w:rPr>
          <w:t xml:space="preserve">[1]</w:t>
        </w:r>
      </w:hyperlink>
      <w:r>
        <w:t xml:space="preserve">.</w:t>
      </w:r>
    </w:p>
    <w:p>
      <w:pPr>
        <w:numPr>
          <w:ilvl w:val="0"/>
          <w:numId w:val="1001"/>
        </w:numPr>
      </w:pPr>
      <w:r>
        <w:rPr>
          <w:b/>
          <w:bCs/>
        </w:rPr>
        <w:t xml:space="preserve">Tissue or End-Organ Deficiency:</w:t>
      </w:r>
      <w:r>
        <w:t xml:space="preserve"> </w:t>
      </w:r>
      <w:r>
        <w:t xml:space="preserve">Emphasizes that the target organ or tissue is deficient. For instance,</w:t>
      </w:r>
      <w:r>
        <w:t xml:space="preserve"> </w:t>
      </w:r>
      <w:r>
        <w:rPr>
          <w:b/>
          <w:bCs/>
        </w:rPr>
        <w:t xml:space="preserve">cerebral folate deficiency (CFD)</w:t>
      </w:r>
      <w:r>
        <w:t xml:space="preserve"> </w:t>
      </w:r>
      <w:r>
        <w:t xml:space="preserve">describes</w:t>
      </w:r>
      <w:r>
        <w:t xml:space="preserve"> </w:t>
      </w:r>
      <w:r>
        <w:rPr>
          <w:i/>
          <w:iCs/>
        </w:rPr>
        <w:t xml:space="preserve">low folate in the brain despite normal blood folate levels</w:t>
      </w:r>
      <w:hyperlink r:id="rId24">
        <w:r>
          <w:rPr>
            <w:rStyle w:val="Hyperlink"/>
          </w:rPr>
          <w:t xml:space="preserve">[4]</w:t>
        </w:r>
      </w:hyperlink>
      <w:r>
        <w:t xml:space="preserve">. This term is used when a specific compartment (like cerebrospinal fluid or a particular organ) has inadequate nutrient availability even though the systemic level is adequate. CFD is a recognized syndrome in neurology, often due to folate receptor autoantibodies that block folate transport into the CNS</w:t>
      </w:r>
      <w:hyperlink r:id="rId24">
        <w:r>
          <w:rPr>
            <w:rStyle w:val="Hyperlink"/>
          </w:rPr>
          <w:t xml:space="preserve">[4]</w:t>
        </w:r>
      </w:hyperlink>
      <w:r>
        <w:t xml:space="preserve">.</w:t>
      </w:r>
    </w:p>
    <w:p>
      <w:pPr>
        <w:numPr>
          <w:ilvl w:val="0"/>
          <w:numId w:val="1001"/>
        </w:numPr>
      </w:pPr>
      <w:r>
        <w:rPr>
          <w:b/>
          <w:bCs/>
        </w:rPr>
        <w:t xml:space="preserve">End-Organ Resistance:</w:t>
      </w:r>
      <w:r>
        <w:t xml:space="preserve"> </w:t>
      </w:r>
      <w:r>
        <w:t xml:space="preserve">Commonly used in endocrinology to denote target tissues “resisting” or not responding to a hormone. In these cases, blood hormone levels may be normal or even elevated, but the effect is blunted. Classic examples include</w:t>
      </w:r>
      <w:r>
        <w:t xml:space="preserve"> </w:t>
      </w:r>
      <w:r>
        <w:rPr>
          <w:b/>
          <w:bCs/>
        </w:rPr>
        <w:t xml:space="preserve">thyroid hormone resistance</w:t>
      </w:r>
      <w:r>
        <w:t xml:space="preserve"> </w:t>
      </w:r>
      <w:r>
        <w:t xml:space="preserve">(Refetoff’s syndrome), where</w:t>
      </w:r>
      <w:r>
        <w:t xml:space="preserve"> </w:t>
      </w:r>
      <w:r>
        <w:rPr>
          <w:i/>
          <w:iCs/>
        </w:rPr>
        <w:t xml:space="preserve">thyroid hormones (T₃/T₄) are high-normal or elevated yet the thyroid-stimulating hormone (TSH) is not appropriately suppressed</w:t>
      </w:r>
      <w:hyperlink r:id="rId25">
        <w:r>
          <w:rPr>
            <w:rStyle w:val="Hyperlink"/>
          </w:rPr>
          <w:t xml:space="preserve">[5]</w:t>
        </w:r>
      </w:hyperlink>
      <w:r>
        <w:t xml:space="preserve">. Essentially, there is</w:t>
      </w:r>
      <w:r>
        <w:t xml:space="preserve"> </w:t>
      </w:r>
      <w:r>
        <w:rPr>
          <w:i/>
          <w:iCs/>
        </w:rPr>
        <w:t xml:space="preserve">decreased end-organ responsiveness to the hormone</w:t>
      </w:r>
      <w:hyperlink r:id="rId25">
        <w:r>
          <w:rPr>
            <w:rStyle w:val="Hyperlink"/>
          </w:rPr>
          <w:t xml:space="preserve">[5]</w:t>
        </w:r>
      </w:hyperlink>
      <w:r>
        <w:t xml:space="preserve">. Another example is</w:t>
      </w:r>
      <w:r>
        <w:t xml:space="preserve"> </w:t>
      </w:r>
      <w:r>
        <w:rPr>
          <w:b/>
          <w:bCs/>
        </w:rPr>
        <w:t xml:space="preserve">hereditary vitamin D-resistant rickets (HVDRR)</w:t>
      </w:r>
      <w:r>
        <w:t xml:space="preserve">, a genetic VDR receptor defect that causes rickets despite normal 25(OH)D levels; this is described as end-organ resistance to vitamin D</w:t>
      </w:r>
      <w:hyperlink r:id="rId26">
        <w:r>
          <w:rPr>
            <w:rStyle w:val="Hyperlink"/>
          </w:rPr>
          <w:t xml:space="preserve">[6]</w:t>
        </w:r>
      </w:hyperlink>
      <w:r>
        <w:t xml:space="preserve">. In such patients, standard vitamin D measurements can be normal, but the hormone cannot act, leading to clinical deficiency signs.</w:t>
      </w:r>
    </w:p>
    <w:p>
      <w:pPr>
        <w:numPr>
          <w:ilvl w:val="0"/>
          <w:numId w:val="1001"/>
        </w:numPr>
      </w:pPr>
      <w:r>
        <w:rPr>
          <w:b/>
          <w:bCs/>
        </w:rPr>
        <w:t xml:space="preserve">Impaired Nutrient Utilization:</w:t>
      </w:r>
      <w:r>
        <w:t xml:space="preserve"> </w:t>
      </w:r>
      <w:r>
        <w:t xml:space="preserve">This phrasing is often used in nutrition and malnutrition contexts. The World Health Organization explicitly includes</w:t>
      </w:r>
      <w:r>
        <w:t xml:space="preserve"> </w:t>
      </w:r>
      <w:r>
        <w:rPr>
          <w:i/>
          <w:iCs/>
        </w:rPr>
        <w:t xml:space="preserve">“impaired nutrient utilization”</w:t>
      </w:r>
      <w:r>
        <w:t xml:space="preserve"> </w:t>
      </w:r>
      <w:r>
        <w:t xml:space="preserve">as a form of malnutrition, distinct from inadequate intake</w:t>
      </w:r>
      <w:hyperlink r:id="rId27">
        <w:r>
          <w:rPr>
            <w:rStyle w:val="Hyperlink"/>
          </w:rPr>
          <w:t xml:space="preserve">[7]</w:t>
        </w:r>
      </w:hyperlink>
      <w:r>
        <w:t xml:space="preserve">. It implies that even with adequate intake and normal circulation levels, the body’s utilization (due to absorption, transport, or metabolic issues) is compromised. This concept covers a broad range of “hidden” deficiencies – effectively a</w:t>
      </w:r>
      <w:r>
        <w:t xml:space="preserve"> </w:t>
      </w:r>
      <w:r>
        <w:rPr>
          <w:i/>
          <w:iCs/>
        </w:rPr>
        <w:t xml:space="preserve">“malnutrition despite ample nutrients”</w:t>
      </w:r>
      <w:r>
        <w:t xml:space="preserve"> </w:t>
      </w:r>
      <w:r>
        <w:t xml:space="preserve">scenario.</w:t>
      </w:r>
    </w:p>
    <w:p>
      <w:pPr>
        <w:pStyle w:val="FirstParagraph"/>
      </w:pPr>
      <w:r>
        <w:t xml:space="preserve">Each of these terms captures part of the landscape. No single official name encompasses all such conditions across nutrients and hormones. In practice, clinicians refer to the specific nutrient/hormone followed by words like</w:t>
      </w:r>
      <w:r>
        <w:t xml:space="preserve"> </w:t>
      </w:r>
      <w:r>
        <w:rPr>
          <w:b/>
          <w:bCs/>
        </w:rPr>
        <w:t xml:space="preserve">“resistance,” “utilization defect,” “functional deficiency,”</w:t>
      </w:r>
      <w:r>
        <w:t xml:space="preserve"> </w:t>
      </w:r>
      <w:r>
        <w:t xml:space="preserve">or a specific syndrome name. For example, “functional B₁₂ deficiency,” “peripheral tissue thyroid hormone resistance,” or “cerebral folate deficiency” are used in context. The lack of a unified term highlights that this is a</w:t>
      </w:r>
      <w:r>
        <w:t xml:space="preserve"> </w:t>
      </w:r>
      <w:r>
        <w:rPr>
          <w:i/>
          <w:iCs/>
        </w:rPr>
        <w:t xml:space="preserve">phenomenon spanning multiple domains</w:t>
      </w:r>
      <w:r>
        <w:t xml:space="preserve"> </w:t>
      </w:r>
      <w:r>
        <w:t xml:space="preserve">rather than one discrete diagnosis.</w:t>
      </w:r>
    </w:p>
    <w:bookmarkEnd w:id="28"/>
    <w:bookmarkStart w:id="46" w:name="X4c6ae21bd4bc62f03435298e50f6f8a9bd1471b"/>
    <w:p>
      <w:pPr>
        <w:pStyle w:val="Heading2"/>
      </w:pPr>
      <w:r>
        <w:rPr>
          <w:b/>
          <w:bCs/>
        </w:rPr>
        <w:t xml:space="preserve">Known Conditions and Mechanisms Exemplifying the Phenomenon</w:t>
      </w:r>
    </w:p>
    <w:p>
      <w:pPr>
        <w:pStyle w:val="FirstParagraph"/>
      </w:pPr>
      <w:r>
        <w:t xml:space="preserve">A number of well-characterized medical conditions fall under the umbrella of “blood-normal but ineffective” states. They can be categorized by the underlying mechanism:</w:t>
      </w:r>
    </w:p>
    <w:bookmarkStart w:id="29" w:name="receptor-or-target-organ-resistance"/>
    <w:p>
      <w:pPr>
        <w:pStyle w:val="Heading3"/>
      </w:pPr>
      <w:r>
        <w:rPr>
          <w:b/>
          <w:bCs/>
        </w:rPr>
        <w:t xml:space="preserve">1. Receptor or Target-Organ Resistance</w:t>
      </w:r>
    </w:p>
    <w:p>
      <w:pPr>
        <w:pStyle w:val="FirstParagraph"/>
      </w:pPr>
      <w:r>
        <w:t xml:space="preserve">In these conditions, the issue lies with the target tissue’s ability to recognize or respond to the molecule: the blood level is normal or high, but receptors or signaling pathways are blocked or blunted.</w:t>
      </w:r>
    </w:p>
    <w:p>
      <w:pPr>
        <w:numPr>
          <w:ilvl w:val="0"/>
          <w:numId w:val="1002"/>
        </w:numPr>
      </w:pPr>
      <w:r>
        <w:rPr>
          <w:b/>
          <w:bCs/>
        </w:rPr>
        <w:t xml:space="preserve">Thyroid Hormone Resistance (Refetoff Syndrome):</w:t>
      </w:r>
      <w:r>
        <w:t xml:space="preserve"> </w:t>
      </w:r>
      <w:r>
        <w:t xml:space="preserve">A rare genetic syndrome in which mutations in thyroid hormone receptors (usually THRB gene) cause tissues to be partially insensitive to T₃/T₄. Patients often have</w:t>
      </w:r>
      <w:r>
        <w:t xml:space="preserve"> </w:t>
      </w:r>
      <w:r>
        <w:rPr>
          <w:i/>
          <w:iCs/>
        </w:rPr>
        <w:t xml:space="preserve">elevated T₃ and T₄ with inappropriately normal or elevated TSH</w:t>
      </w:r>
      <w:r>
        <w:t xml:space="preserve">, since the pituitary gland (or other tissues) fails to sense the hormone adequately</w:t>
      </w:r>
      <w:hyperlink r:id="rId25">
        <w:r>
          <w:rPr>
            <w:rStyle w:val="Hyperlink"/>
          </w:rPr>
          <w:t xml:space="preserve">[8]</w:t>
        </w:r>
      </w:hyperlink>
      <w:r>
        <w:t xml:space="preserve">. Despite high hormone levels, the patient may appear clinically euthyroid or only mildly hyperthyroid – the hallmark is</w:t>
      </w:r>
      <w:r>
        <w:t xml:space="preserve"> </w:t>
      </w:r>
      <w:r>
        <w:rPr>
          <w:b/>
          <w:bCs/>
        </w:rPr>
        <w:t xml:space="preserve">diminished end-organ effect</w:t>
      </w:r>
      <w:hyperlink r:id="rId25">
        <w:r>
          <w:rPr>
            <w:rStyle w:val="Hyperlink"/>
          </w:rPr>
          <w:t xml:space="preserve">[5]</w:t>
        </w:r>
      </w:hyperlink>
      <w:r>
        <w:t xml:space="preserve">. The diagnosis is suspected when routine labs show this paradox (high thyroid hormones + non-suppressed TSH). It’s confirmed by genetic testing. This is essentially a “functional hypothyroid” at the tissue level in the presence of normal/high circulating hormone.</w:t>
      </w:r>
    </w:p>
    <w:p>
      <w:pPr>
        <w:numPr>
          <w:ilvl w:val="0"/>
          <w:numId w:val="1002"/>
        </w:numPr>
      </w:pPr>
      <w:r>
        <w:rPr>
          <w:b/>
          <w:bCs/>
        </w:rPr>
        <w:t xml:space="preserve">Hereditary Vitamin D-Resistant Rickets (HVDRR, also called Vitamin D Dependent Rickets Type II):</w:t>
      </w:r>
      <w:r>
        <w:t xml:space="preserve"> </w:t>
      </w:r>
      <w:r>
        <w:t xml:space="preserve">An autosomal recessive condition due to mutations in the vitamin D receptor. Children have severe rickets, growth failure, and often alopecia,</w:t>
      </w:r>
      <w:r>
        <w:t xml:space="preserve"> </w:t>
      </w:r>
      <w:r>
        <w:rPr>
          <w:i/>
          <w:iCs/>
        </w:rPr>
        <w:t xml:space="preserve">despite normal 25-OH vitamin D levels (and often elevated 1,25-dihydroxyvitamin D)</w:t>
      </w:r>
      <w:r>
        <w:t xml:space="preserve"> </w:t>
      </w:r>
      <w:r>
        <w:t xml:space="preserve">because the end-organ (bones/intestine) cannot respond</w:t>
      </w:r>
      <w:hyperlink r:id="rId26">
        <w:r>
          <w:rPr>
            <w:rStyle w:val="Hyperlink"/>
          </w:rPr>
          <w:t xml:space="preserve">[6]</w:t>
        </w:r>
      </w:hyperlink>
      <w:r>
        <w:t xml:space="preserve">. This is a classic</w:t>
      </w:r>
      <w:r>
        <w:t xml:space="preserve"> </w:t>
      </w:r>
      <w:r>
        <w:rPr>
          <w:b/>
          <w:bCs/>
        </w:rPr>
        <w:t xml:space="preserve">end-organ resistance to a nutrient</w:t>
      </w:r>
      <w:r>
        <w:t xml:space="preserve">: calcium and phosphate are not managed properly because vitamin D signaling is blocked. Laboratory evaluation shows high circulating active vitamin D (due to loss of feedback inhibition) but clinical signs of deficiency (hypocalcemia, rickets). Only by checking hormone receptor function (or genetic tests) can this be distinguished from nutritional vitamin D deficiency.</w:t>
      </w:r>
    </w:p>
    <w:p>
      <w:pPr>
        <w:numPr>
          <w:ilvl w:val="0"/>
          <w:numId w:val="1002"/>
        </w:numPr>
      </w:pPr>
      <w:r>
        <w:rPr>
          <w:b/>
          <w:bCs/>
        </w:rPr>
        <w:t xml:space="preserve">Insulin Resistance:</w:t>
      </w:r>
      <w:r>
        <w:t xml:space="preserve"> </w:t>
      </w:r>
      <w:r>
        <w:t xml:space="preserve">Although mechanistically different (often post-receptor signaling defects), it’s worth noting that in type 2 diabetes and metabolic syndrome, patients may have</w:t>
      </w:r>
      <w:r>
        <w:t xml:space="preserve"> </w:t>
      </w:r>
      <w:r>
        <w:rPr>
          <w:i/>
          <w:iCs/>
        </w:rPr>
        <w:t xml:space="preserve">normal or high insulin levels but inadequate glucose uptake</w:t>
      </w:r>
      <w:r>
        <w:t xml:space="preserve">. This is a form of functional deficiency of insulin’s action. Clinically, insulin resistance is inferred from elevated insulin and glucose levels together, rather than normal insulin – but in early stages, fasting insulin can be in normal range while tissue response is subnormal. The concept of insulin resistance has driven home the idea that</w:t>
      </w:r>
      <w:r>
        <w:t xml:space="preserve"> </w:t>
      </w:r>
      <w:r>
        <w:rPr>
          <w:b/>
          <w:bCs/>
        </w:rPr>
        <w:t xml:space="preserve">circulating quantity ≠ biological effect</w:t>
      </w:r>
      <w:r>
        <w:t xml:space="preserve">.</w:t>
      </w:r>
    </w:p>
    <w:p>
      <w:pPr>
        <w:numPr>
          <w:ilvl w:val="0"/>
          <w:numId w:val="1002"/>
        </w:numPr>
      </w:pPr>
      <w:r>
        <w:rPr>
          <w:b/>
          <w:bCs/>
        </w:rPr>
        <w:t xml:space="preserve">Leptin Resistance:</w:t>
      </w:r>
      <w:r>
        <w:t xml:space="preserve"> </w:t>
      </w:r>
      <w:r>
        <w:t xml:space="preserve">In obesity, high leptin levels with lack of satiety or weight loss response are well documented. Leptin is often elevated in individuals with obesity, yet the expected appetite-suppressing effect is lost – a central resistance phenomenon. While leptin and insulin resistances are usually characterized by high hormone levels, they illustrate the general principle of “a lot on board, but not working.”</w:t>
      </w:r>
    </w:p>
    <w:p>
      <w:pPr>
        <w:numPr>
          <w:ilvl w:val="0"/>
          <w:numId w:val="1002"/>
        </w:numPr>
      </w:pPr>
      <w:r>
        <w:rPr>
          <w:b/>
          <w:bCs/>
        </w:rPr>
        <w:t xml:space="preserve">Growth Hormone/IGF-1 Resistance:</w:t>
      </w:r>
      <w:r>
        <w:t xml:space="preserve"> </w:t>
      </w:r>
      <w:r>
        <w:t xml:space="preserve">E.g., Laron syndrome (growth hormone receptor defect) features high serum GH but dwarfism due to inability to generate IGF-1. Conversely primary IGF-1 resistance can occur. These mirror the pattern: hormone present, effect absent.</w:t>
      </w:r>
    </w:p>
    <w:p>
      <w:pPr>
        <w:pStyle w:val="FirstParagraph"/>
      </w:pPr>
      <w:r>
        <w:t xml:space="preserve">In all these cases,</w:t>
      </w:r>
      <w:r>
        <w:t xml:space="preserve"> </w:t>
      </w:r>
      <w:r>
        <w:rPr>
          <w:b/>
          <w:bCs/>
        </w:rPr>
        <w:t xml:space="preserve">the diagnostic hallmark is a paradoxical combination of lab results and clinical picture</w:t>
      </w:r>
      <w:r>
        <w:t xml:space="preserve">. For instance, in thyroid hormone resistance, the paradox is high hormones without expected feedback; in HVDRR, it’s normal vitamin D with signs of rickets. The mechanisms are diverse (receptor gene mutations, post-receptor signaling defects, or autoantibodies blocking receptors as discussed below), but the net effect is the same: the tissue “sees” a deficiency state while the blood “sees” plenty.</w:t>
      </w:r>
    </w:p>
    <w:bookmarkEnd w:id="29"/>
    <w:bookmarkStart w:id="34" w:name="X56679b0bd2debcc37023f8d45155dc053d0d463"/>
    <w:p>
      <w:pPr>
        <w:pStyle w:val="Heading3"/>
      </w:pPr>
      <w:r>
        <w:rPr>
          <w:b/>
          <w:bCs/>
        </w:rPr>
        <w:t xml:space="preserve">2. Autoantibodies Blocking or Altering Utilization</w:t>
      </w:r>
    </w:p>
    <w:p>
      <w:pPr>
        <w:pStyle w:val="FirstParagraph"/>
      </w:pPr>
      <w:r>
        <w:t xml:space="preserve">Autoimmune processes can interfere with nutrient or hormone action even if levels are sufficient:</w:t>
      </w:r>
    </w:p>
    <w:p>
      <w:pPr>
        <w:numPr>
          <w:ilvl w:val="0"/>
          <w:numId w:val="1003"/>
        </w:numPr>
      </w:pPr>
      <w:r>
        <w:rPr>
          <w:b/>
          <w:bCs/>
        </w:rPr>
        <w:t xml:space="preserve">Folate Receptor Autoantibodies – Cerebral Folate Deficiency:</w:t>
      </w:r>
      <w:r>
        <w:t xml:space="preserve"> </w:t>
      </w:r>
      <w:r>
        <w:t xml:space="preserve">Some children (and rarely adults) develop autoantibodies against the folate receptor alpha (FRα) in the choroid plexus. These antibodies</w:t>
      </w:r>
      <w:r>
        <w:t xml:space="preserve"> </w:t>
      </w:r>
      <w:r>
        <w:rPr>
          <w:b/>
          <w:bCs/>
        </w:rPr>
        <w:t xml:space="preserve">block the transport of 5-methyltetrahydrofolate into the brain</w:t>
      </w:r>
      <w:r>
        <w:t xml:space="preserve">, causing low cerebrospinal fluid (CSF) folate levels while blood folate remains normal</w:t>
      </w:r>
      <w:hyperlink r:id="rId24">
        <w:r>
          <w:rPr>
            <w:rStyle w:val="Hyperlink"/>
          </w:rPr>
          <w:t xml:space="preserve">[4]</w:t>
        </w:r>
      </w:hyperlink>
      <w:r>
        <w:t xml:space="preserve">. This condition,</w:t>
      </w:r>
      <w:r>
        <w:t xml:space="preserve"> </w:t>
      </w:r>
      <w:r>
        <w:rPr>
          <w:i/>
          <w:iCs/>
        </w:rPr>
        <w:t xml:space="preserve">cerebral folate deficiency (CFD)</w:t>
      </w:r>
      <w:r>
        <w:t xml:space="preserve">, leads to neurologic regression, developmental delays, seizures, and autism-like features in young children despite adequate folate in the diet/blood</w:t>
      </w:r>
      <w:hyperlink r:id="rId30">
        <w:r>
          <w:rPr>
            <w:rStyle w:val="Hyperlink"/>
          </w:rPr>
          <w:t xml:space="preserve">[9]</w:t>
        </w:r>
      </w:hyperlink>
      <w:hyperlink r:id="rId31">
        <w:r>
          <w:rPr>
            <w:rStyle w:val="Hyperlink"/>
          </w:rPr>
          <w:t xml:space="preserve">[10]</w:t>
        </w:r>
      </w:hyperlink>
      <w:r>
        <w:t xml:space="preserve">. A hallmark diagnostic pattern is normal serum folate but</w:t>
      </w:r>
      <w:r>
        <w:t xml:space="preserve"> </w:t>
      </w:r>
      <w:r>
        <w:rPr>
          <w:b/>
          <w:bCs/>
        </w:rPr>
        <w:t xml:space="preserve">low CSF folate</w:t>
      </w:r>
      <w:r>
        <w:t xml:space="preserve"> </w:t>
      </w:r>
      <w:r>
        <w:t xml:space="preserve">(often &lt; 5 nmol/L). Testing for folate receptor autoantibodies in serum can support the diagnosis. This is a clear example where standard blood tests would miss the diagnosis entirely – only by examining the target compartment (brain) or the pathologic mechanism (autoantibody assay) can it be identified. Treatment with high-dose folinic acid (leucovorin) can bypass the blockade</w:t>
      </w:r>
      <w:hyperlink r:id="rId24">
        <w:r>
          <w:rPr>
            <w:rStyle w:val="Hyperlink"/>
          </w:rPr>
          <w:t xml:space="preserve">[4]</w:t>
        </w:r>
      </w:hyperlink>
      <w:r>
        <w:t xml:space="preserve">.</w:t>
      </w:r>
    </w:p>
    <w:p>
      <w:pPr>
        <w:numPr>
          <w:ilvl w:val="0"/>
          <w:numId w:val="1003"/>
        </w:numPr>
      </w:pPr>
      <w:r>
        <w:rPr>
          <w:b/>
          <w:bCs/>
        </w:rPr>
        <w:t xml:space="preserve">Intrinsic Factor Antibodies – Pernicious Anemia:</w:t>
      </w:r>
      <w:r>
        <w:t xml:space="preserve"> </w:t>
      </w:r>
      <w:r>
        <w:t xml:space="preserve">In pernicious anemia, autoantibodies against intrinsic factor prevent vitamin B₁₂ absorption in the gut. Early on, a patient might have normal B₁₂ levels if diet is sufficient, but the vitamin isn’t getting absorbed/utilized. Over time, serum B₁₂ does fall. So this is more an absorption issue than utilization in tissues, and usually serum will eventually become low, distinguishing it from the other examples. However, pernicious anemia is worth noting as an</w:t>
      </w:r>
      <w:r>
        <w:t xml:space="preserve"> </w:t>
      </w:r>
      <w:r>
        <w:rPr>
          <w:b/>
          <w:bCs/>
        </w:rPr>
        <w:t xml:space="preserve">autoimmune cause of functional deficiency</w:t>
      </w:r>
      <w:r>
        <w:t xml:space="preserve"> </w:t>
      </w:r>
      <w:r>
        <w:t xml:space="preserve">(the “function” being absorption in this case). The clinical governance point here is that a normal B₁₂ in a patient with classical signs (macrocytic anemia, neuropathy) doesn’t fully rule out pernicious anemia if tested early or if assays are unreliable – it necessitates checking for antibodies or functional markers (as discussed later)</w:t>
      </w:r>
      <w:hyperlink r:id="rId32">
        <w:r>
          <w:rPr>
            <w:rStyle w:val="Hyperlink"/>
          </w:rPr>
          <w:t xml:space="preserve">[11]</w:t>
        </w:r>
      </w:hyperlink>
      <w:hyperlink r:id="rId33">
        <w:r>
          <w:rPr>
            <w:rStyle w:val="Hyperlink"/>
          </w:rPr>
          <w:t xml:space="preserve">[12]</w:t>
        </w:r>
      </w:hyperlink>
      <w:r>
        <w:t xml:space="preserve">.</w:t>
      </w:r>
    </w:p>
    <w:p>
      <w:pPr>
        <w:numPr>
          <w:ilvl w:val="0"/>
          <w:numId w:val="1003"/>
        </w:numPr>
      </w:pPr>
      <w:r>
        <w:rPr>
          <w:b/>
          <w:bCs/>
        </w:rPr>
        <w:t xml:space="preserve">Insulin Receptor Autoantibodies:</w:t>
      </w:r>
      <w:r>
        <w:t xml:space="preserve"> </w:t>
      </w:r>
      <w:r>
        <w:t xml:space="preserve">A rare cause of “Type B insulin resistance” occurs in some autoimmune conditions (like lupus) where antibodies to the insulin receptor cause extreme insulin resistance. Patients can have normal or high insulin levels with severe hyperglycemia. This again is typically a situation of high hormone levels, but due to autoantibody blockade, there is no effect (or even paradoxical effects). It’s an extreme and rare example, but one that shows how autoimmunity can create a functional deficiency state.</w:t>
      </w:r>
    </w:p>
    <w:bookmarkEnd w:id="34"/>
    <w:bookmarkStart w:id="40" w:name="transport-and-distribution-failures"/>
    <w:p>
      <w:pPr>
        <w:pStyle w:val="Heading3"/>
      </w:pPr>
      <w:r>
        <w:rPr>
          <w:b/>
          <w:bCs/>
        </w:rPr>
        <w:t xml:space="preserve">3. Transport and Distribution Failures</w:t>
      </w:r>
    </w:p>
    <w:p>
      <w:pPr>
        <w:pStyle w:val="FirstParagraph"/>
      </w:pPr>
      <w:r>
        <w:t xml:space="preserve">Here, the issue lies in getting the biomarker from the blood to the target tissue or into its active site of action:</w:t>
      </w:r>
    </w:p>
    <w:p>
      <w:pPr>
        <w:numPr>
          <w:ilvl w:val="0"/>
          <w:numId w:val="1004"/>
        </w:numPr>
      </w:pPr>
      <w:r>
        <w:rPr>
          <w:b/>
          <w:bCs/>
        </w:rPr>
        <w:t xml:space="preserve">Cerebral Folate Deficiency (Transport Failure):</w:t>
      </w:r>
      <w:r>
        <w:t xml:space="preserve"> </w:t>
      </w:r>
      <w:r>
        <w:t xml:space="preserve">Already discussed above under autoantibodies, CFD can also be caused by inherited mutations in the FOLR1 gene (encoding the folate receptor)</w:t>
      </w:r>
      <w:hyperlink r:id="rId35">
        <w:r>
          <w:rPr>
            <w:rStyle w:val="Hyperlink"/>
          </w:rPr>
          <w:t xml:space="preserve">[13]</w:t>
        </w:r>
      </w:hyperlink>
      <w:r>
        <w:t xml:space="preserve">. In either case, the transport across the blood–brain barrier is faulty. Another transport-related CFD example is</w:t>
      </w:r>
      <w:r>
        <w:t xml:space="preserve"> </w:t>
      </w:r>
      <w:r>
        <w:rPr>
          <w:b/>
          <w:bCs/>
        </w:rPr>
        <w:t xml:space="preserve">MCT8 (monocarboxylate transporter-8) deficiency</w:t>
      </w:r>
      <w:r>
        <w:t xml:space="preserve">, also known as Allan–Herndon–Dudley syndrome. MCT8 is a thyroid hormone transporter protein on cell membranes and the blood–brain barrier. Mutations in MCT8 prevent T₃ from entering neural cells; affected infants have normal or high T₃ in blood but the brain is essentially hypothyroid, leading to severe developmental disability</w:t>
      </w:r>
      <w:hyperlink r:id="rId36">
        <w:r>
          <w:rPr>
            <w:rStyle w:val="Hyperlink"/>
          </w:rPr>
          <w:t xml:space="preserve">[14]</w:t>
        </w:r>
      </w:hyperlink>
      <w:hyperlink r:id="rId37">
        <w:r>
          <w:rPr>
            <w:rStyle w:val="Hyperlink"/>
          </w:rPr>
          <w:t xml:space="preserve">[15]</w:t>
        </w:r>
      </w:hyperlink>
      <w:r>
        <w:t xml:space="preserve">. Lab hallmark:</w:t>
      </w:r>
      <w:r>
        <w:t xml:space="preserve"> </w:t>
      </w:r>
      <w:r>
        <w:rPr>
          <w:i/>
          <w:iCs/>
        </w:rPr>
        <w:t xml:space="preserve">elevated T₃, low T₄, normal–slightly high TSH</w:t>
      </w:r>
      <w:r>
        <w:t xml:space="preserve"> </w:t>
      </w:r>
      <w:r>
        <w:t xml:space="preserve">(due to altered feedback), which is an unusual thyroid panel prompting further genetic evaluation</w:t>
      </w:r>
      <w:hyperlink r:id="rId36">
        <w:r>
          <w:rPr>
            <w:rStyle w:val="Hyperlink"/>
          </w:rPr>
          <w:t xml:space="preserve">[14]</w:t>
        </w:r>
      </w:hyperlink>
      <w:r>
        <w:t xml:space="preserve">. This is a case of</w:t>
      </w:r>
      <w:r>
        <w:t xml:space="preserve"> </w:t>
      </w:r>
      <w:r>
        <w:rPr>
          <w:b/>
          <w:bCs/>
        </w:rPr>
        <w:t xml:space="preserve">isolated organ (brain) hypothyroidism</w:t>
      </w:r>
      <w:r>
        <w:t xml:space="preserve"> </w:t>
      </w:r>
      <w:r>
        <w:t xml:space="preserve">despite systemic euthyroidism – precisely due to transport failure.</w:t>
      </w:r>
    </w:p>
    <w:p>
      <w:pPr>
        <w:numPr>
          <w:ilvl w:val="0"/>
          <w:numId w:val="1004"/>
        </w:numPr>
      </w:pPr>
      <w:r>
        <w:rPr>
          <w:b/>
          <w:bCs/>
        </w:rPr>
        <w:t xml:space="preserve">Transcobalamin II Deficiency:</w:t>
      </w:r>
      <w:r>
        <w:t xml:space="preserve"> </w:t>
      </w:r>
      <w:r>
        <w:t xml:space="preserve">Transcobalamin II is the protein that transports vitamin B₁₂ in blood to tissues. A rare congenital deficiency of transcobalamin leads to severe infantile B₁₂ deficiency signs (megaloblastic anemia, failure to thrive, neurological damage) even though the infant might have normal B₁₂ intake. Here, B₁₂ cannot exit the bloodstream effectively into cells. Serum B₁₂ may be normal or mildly reduced, but functionally the patient is deficient. As a clue,</w:t>
      </w:r>
      <w:r>
        <w:t xml:space="preserve"> </w:t>
      </w:r>
      <w:r>
        <w:rPr>
          <w:i/>
          <w:iCs/>
        </w:rPr>
        <w:t xml:space="preserve">holotranscobalamin</w:t>
      </w:r>
      <w:r>
        <w:t xml:space="preserve"> </w:t>
      </w:r>
      <w:r>
        <w:t xml:space="preserve">(the B₁₂ actually bound to transcobalamin and available to cells) will be extremely low. In practice, any</w:t>
      </w:r>
      <w:r>
        <w:t xml:space="preserve"> </w:t>
      </w:r>
      <w:r>
        <w:rPr>
          <w:b/>
          <w:bCs/>
        </w:rPr>
        <w:t xml:space="preserve">“failure of intracellular transport of B₁₂ by transcobalamin”</w:t>
      </w:r>
      <w:r>
        <w:t xml:space="preserve"> </w:t>
      </w:r>
      <w:r>
        <w:t xml:space="preserve">can lead to functional B₁₂ deficiency with apparently normal serum levels</w:t>
      </w:r>
      <w:hyperlink r:id="rId32">
        <w:r>
          <w:rPr>
            <w:rStyle w:val="Hyperlink"/>
          </w:rPr>
          <w:t xml:space="preserve">[16]</w:t>
        </w:r>
      </w:hyperlink>
      <w:r>
        <w:t xml:space="preserve">. This scenario can also be</w:t>
      </w:r>
      <w:r>
        <w:t xml:space="preserve"> </w:t>
      </w:r>
      <w:r>
        <w:rPr>
          <w:b/>
          <w:bCs/>
        </w:rPr>
        <w:t xml:space="preserve">acquired</w:t>
      </w:r>
      <w:r>
        <w:t xml:space="preserve"> </w:t>
      </w:r>
      <w:r>
        <w:t xml:space="preserve">transiently: for example,</w:t>
      </w:r>
      <w:r>
        <w:t xml:space="preserve"> </w:t>
      </w:r>
      <w:r>
        <w:rPr>
          <w:b/>
          <w:bCs/>
        </w:rPr>
        <w:t xml:space="preserve">nitrous oxide</w:t>
      </w:r>
      <w:r>
        <w:t xml:space="preserve"> </w:t>
      </w:r>
      <w:r>
        <w:t xml:space="preserve">exposure inactivates B₁₂ inside cells (by oxidizing cobalt) – patients with heavy N₂O use can develop functional B₁₂ deficiency neurologic symptoms while blood B₁₂ assays are normal</w:t>
      </w:r>
      <w:hyperlink r:id="rId32">
        <w:r>
          <w:rPr>
            <w:rStyle w:val="Hyperlink"/>
          </w:rPr>
          <w:t xml:space="preserve">[11]</w:t>
        </w:r>
      </w:hyperlink>
      <w:r>
        <w:t xml:space="preserve">. Elevated methylmalonic acid (MMA) in such cases confirms tissue B₁₂ deficiency despite normal serum B₁₂.</w:t>
      </w:r>
    </w:p>
    <w:p>
      <w:pPr>
        <w:numPr>
          <w:ilvl w:val="0"/>
          <w:numId w:val="1004"/>
        </w:numPr>
      </w:pPr>
      <w:r>
        <w:rPr>
          <w:b/>
          <w:bCs/>
        </w:rPr>
        <w:t xml:space="preserve">Atransferrinemia:</w:t>
      </w:r>
      <w:r>
        <w:t xml:space="preserve"> </w:t>
      </w:r>
      <w:r>
        <w:t xml:space="preserve">An ultra-rare condition where transferrin (iron transport protein) is missing. Iron can’t circulate properly, leading to severe anemia and iron overload in tissues simultaneously. Serum iron might actually be low (because it’s all stuck in liver/spleen); this one doesn’t give a “normal iron” reading, but it’s a transport failure example. More common is the anemia of chronic disease/inflammation: high hepcidin levels “lock” iron in storage and reduce transfer to bone marrow. Patients have adequate iron stores (ferritin may be normal or high) but low iron availability for erythropoiesis –</w:t>
      </w:r>
      <w:r>
        <w:t xml:space="preserve"> </w:t>
      </w:r>
      <w:r>
        <w:rPr>
          <w:b/>
          <w:bCs/>
        </w:rPr>
        <w:t xml:space="preserve">functional iron deficiency</w:t>
      </w:r>
      <w:r>
        <w:t xml:space="preserve">. In fact, in chronic kidney disease (CKD) patients on erythropoietin therapy,</w:t>
      </w:r>
      <w:r>
        <w:t xml:space="preserve"> </w:t>
      </w:r>
      <w:r>
        <w:rPr>
          <w:i/>
          <w:iCs/>
        </w:rPr>
        <w:t xml:space="preserve">functional iron deficiency is defined by normal or elevated ferritin with low transferrin saturation</w:t>
      </w:r>
      <w:r>
        <w:t xml:space="preserve"> </w:t>
      </w:r>
      <w:r>
        <w:t xml:space="preserve">(e.g. ferritin &gt;100–200 µg/L with TSAT &lt;20%)</w:t>
      </w:r>
      <w:hyperlink r:id="rId38">
        <w:r>
          <w:rPr>
            <w:rStyle w:val="Hyperlink"/>
          </w:rPr>
          <w:t xml:space="preserve">[17]</w:t>
        </w:r>
      </w:hyperlink>
      <w:hyperlink r:id="rId38">
        <w:r>
          <w:rPr>
            <w:rStyle w:val="Hyperlink"/>
          </w:rPr>
          <w:t xml:space="preserve">[18]</w:t>
        </w:r>
      </w:hyperlink>
      <w:r>
        <w:t xml:space="preserve">. They have iron in the body, but it’s not reaching the red cell precursors fast enough, so they behave like iron-deficient anemics. This condition is managed by providing additional iron to override the block</w:t>
      </w:r>
      <w:hyperlink r:id="rId39">
        <w:r>
          <w:rPr>
            <w:rStyle w:val="Hyperlink"/>
          </w:rPr>
          <w:t xml:space="preserve">[19]</w:t>
        </w:r>
      </w:hyperlink>
      <w:r>
        <w:t xml:space="preserve">.</w:t>
      </w:r>
    </w:p>
    <w:p>
      <w:pPr>
        <w:numPr>
          <w:ilvl w:val="0"/>
          <w:numId w:val="1004"/>
        </w:numPr>
      </w:pPr>
      <w:r>
        <w:rPr>
          <w:b/>
          <w:bCs/>
        </w:rPr>
        <w:t xml:space="preserve">Other Transport/Distribution Issues:</w:t>
      </w:r>
      <w:r>
        <w:t xml:space="preserve"> </w:t>
      </w:r>
      <w:r>
        <w:t xml:space="preserve">Examples include Menkes disease (copper transport defect – low copper in brain/liver despite normal intake), various lipoprotein receptor defects (leading to nutrients like vitamin E deficiency in tissues despite normal diet), etc. These are often genetic and rare, but collectively illustrate the category.</w:t>
      </w:r>
    </w:p>
    <w:bookmarkEnd w:id="40"/>
    <w:bookmarkStart w:id="45" w:name="downstream-metabolic-conversion-failures"/>
    <w:p>
      <w:pPr>
        <w:pStyle w:val="Heading3"/>
      </w:pPr>
      <w:r>
        <w:rPr>
          <w:b/>
          <w:bCs/>
        </w:rPr>
        <w:t xml:space="preserve">4. Downstream Metabolic Conversion Failures</w:t>
      </w:r>
    </w:p>
    <w:p>
      <w:pPr>
        <w:pStyle w:val="FirstParagraph"/>
      </w:pPr>
      <w:r>
        <w:t xml:space="preserve">In these cases, the circulating form of the molecule is normal, but the body cannot convert it to the active form or cannot utilize the metabolite due to enzyme deficiencies:</w:t>
      </w:r>
    </w:p>
    <w:p>
      <w:pPr>
        <w:numPr>
          <w:ilvl w:val="0"/>
          <w:numId w:val="1005"/>
        </w:numPr>
      </w:pPr>
      <w:r>
        <w:rPr>
          <w:b/>
          <w:bCs/>
        </w:rPr>
        <w:t xml:space="preserve">1α-Hydroxylase Deficiency (Vitamin D Dependent Rickets Type I):</w:t>
      </w:r>
      <w:r>
        <w:t xml:space="preserve"> </w:t>
      </w:r>
      <w:r>
        <w:t xml:space="preserve">Here the vitamin D receptor is fine and 25-OH-D levels are normal, but the kidney enzyme that activates vitamin D (converts 25-OH-D to 1,25-(OH)₂D) is defective. The result is functional vitamin D deficiency (lack of calcitriol) despite normal precursor levels. This condition (VDDR type I) presents in infancy with rickets; measuring 1,25-dihydroxyvitamin D will show an inappropriately low level relative to 25-OH-D. It’s treated with calcitriol replacement. While serum 25-OH-D might be normal, the patient behaves exactly like a vitamin D–deficient patient due to the metabolic block.</w:t>
      </w:r>
    </w:p>
    <w:p>
      <w:pPr>
        <w:numPr>
          <w:ilvl w:val="0"/>
          <w:numId w:val="1005"/>
        </w:numPr>
      </w:pPr>
      <w:r>
        <w:rPr>
          <w:b/>
          <w:bCs/>
        </w:rPr>
        <w:t xml:space="preserve">MTHFR Mutation (Folic Acid -&gt; Folate conversion):</w:t>
      </w:r>
      <w:r>
        <w:t xml:space="preserve"> </w:t>
      </w:r>
      <w:r>
        <w:t xml:space="preserve">A common polymorphism in MTHFR enzyme can reduce conversion of folic acid (from diet or supplement) to active folate (5-methyl-THF). Most people with MTHFR variants are asymptomatic, but in certain circumstances (very high folic acid intake, co-existing B₁₂ deficiency, etc.) there is concern of “functional folate deficiency.” For instance, unmetabolized folic acid can build up while the tissues lack active folate. There isn’t a clearly defined clinical syndrome except in severe cases (homozygous for very severe mutations or combined with other issues), but it’s a consideration in the logic of nutrient utilization. Another example:</w:t>
      </w:r>
      <w:r>
        <w:t xml:space="preserve"> </w:t>
      </w:r>
      <w:r>
        <w:rPr>
          <w:b/>
          <w:bCs/>
        </w:rPr>
        <w:t xml:space="preserve">folinic acid rescue in patients with DHFR mutations</w:t>
      </w:r>
      <w:r>
        <w:t xml:space="preserve"> </w:t>
      </w:r>
      <w:r>
        <w:t xml:space="preserve">or dihydrofolate reductase inhibitors – standard folic acid might not help, but folinic (leucovorin) does, indicating a functional block in activation.</w:t>
      </w:r>
    </w:p>
    <w:p>
      <w:pPr>
        <w:numPr>
          <w:ilvl w:val="0"/>
          <w:numId w:val="1005"/>
        </w:numPr>
      </w:pPr>
      <w:r>
        <w:rPr>
          <w:b/>
          <w:bCs/>
        </w:rPr>
        <w:t xml:space="preserve">Inherited Disorders of Cobalamin Metabolism (cblC, cblD, etc.):</w:t>
      </w:r>
      <w:r>
        <w:t xml:space="preserve"> </w:t>
      </w:r>
      <w:r>
        <w:t xml:space="preserve">These are metabolic defects where vitamin B₁₂ cannot be converted into its coenzyme forms (adenosyl-B₁₂ and methyl-B₁₂). Infants with these disorders can have normal B₁₂ levels on a screening test, but they accumulate methylmalonic acid and homocysteine (because B₁₂ isn’t working as a cofactor). This leads to failure to thrive, neurologic damage, etc., unless treated with specific forms of B₁₂. Again, the</w:t>
      </w:r>
      <w:r>
        <w:t xml:space="preserve"> </w:t>
      </w:r>
      <w:r>
        <w:rPr>
          <w:b/>
          <w:bCs/>
        </w:rPr>
        <w:t xml:space="preserve">functional lab markers (MMA, Hcy)</w:t>
      </w:r>
      <w:r>
        <w:t xml:space="preserve"> </w:t>
      </w:r>
      <w:r>
        <w:t xml:space="preserve">reveal the deficiency while the direct level may not.</w:t>
      </w:r>
    </w:p>
    <w:p>
      <w:pPr>
        <w:numPr>
          <w:ilvl w:val="0"/>
          <w:numId w:val="1005"/>
        </w:numPr>
      </w:pPr>
      <w:r>
        <w:rPr>
          <w:b/>
          <w:bCs/>
        </w:rPr>
        <w:t xml:space="preserve">Pyridoxine-Dependent Epilepsy:</w:t>
      </w:r>
      <w:r>
        <w:t xml:space="preserve"> </w:t>
      </w:r>
      <w:r>
        <w:t xml:space="preserve">A rare metabolic flaw (ALDH7A1 mutation) causes babies to require extraordinarily high vitamin B₆ (pyridoxine) doses to prevent seizures. Standard B₆ levels might be normal, but functionally they are “deficient” unless supplemented because a toxic metabolite accumulates. This is treated with high-dose pyridoxine or pyridoxal-5-phosphate. It underscores that genetic metabolic bottlenecks can create an apparent deficiency state despite normal vitamin levels in plasma.</w:t>
      </w:r>
    </w:p>
    <w:p>
      <w:pPr>
        <w:numPr>
          <w:ilvl w:val="0"/>
          <w:numId w:val="1005"/>
        </w:numPr>
      </w:pPr>
      <w:r>
        <w:rPr>
          <w:b/>
          <w:bCs/>
        </w:rPr>
        <w:t xml:space="preserve">Antinutrient or Toxin Effects:</w:t>
      </w:r>
      <w:r>
        <w:t xml:space="preserve"> </w:t>
      </w:r>
      <w:r>
        <w:t xml:space="preserve">Certain toxins can induce a functional deficiency. One striking example is the discovery of</w:t>
      </w:r>
      <w:r>
        <w:t xml:space="preserve"> </w:t>
      </w:r>
      <w:r>
        <w:rPr>
          <w:b/>
          <w:bCs/>
        </w:rPr>
        <w:t xml:space="preserve">oxy-thiamine (an anti-thiamine metabolite)</w:t>
      </w:r>
      <w:r>
        <w:t xml:space="preserve"> </w:t>
      </w:r>
      <w:r>
        <w:t xml:space="preserve">accumulating in end-stage renal disease patients</w:t>
      </w:r>
      <w:hyperlink r:id="rId41">
        <w:r>
          <w:rPr>
            <w:rStyle w:val="Hyperlink"/>
          </w:rPr>
          <w:t xml:space="preserve">[20]</w:t>
        </w:r>
      </w:hyperlink>
      <w:r>
        <w:t xml:space="preserve">. Oxythiamine can inhibit thiamine-dependent enzymes, effectively causing</w:t>
      </w:r>
      <w:r>
        <w:t xml:space="preserve"> </w:t>
      </w:r>
      <w:r>
        <w:rPr>
          <w:i/>
          <w:iCs/>
        </w:rPr>
        <w:t xml:space="preserve">functional thiamine (B₁) deficiency in ESRD patients despite normal thiamine intake</w:t>
      </w:r>
      <w:r>
        <w:t xml:space="preserve">. The source may be gut bacteria overgrowth producing the antimetabolite</w:t>
      </w:r>
      <w:hyperlink r:id="rId42">
        <w:r>
          <w:rPr>
            <w:rStyle w:val="Hyperlink"/>
          </w:rPr>
          <w:t xml:space="preserve">[21]</w:t>
        </w:r>
      </w:hyperlink>
      <w:r>
        <w:t xml:space="preserve">. Clinically, this might manifest as unexplained lactic acidosis or cardiac issues in dialysis patients that improve with thiamine supplementation – highlighting the need to recognize when normal levels don’t equate to sufficient function. Similarly, long-term isoniazid therapy can lead to functional B₆ deficiency (by inhibiting pyridoxine activation), and high avidin (in raw egg diet) causes biotin deficiency by binding it – in both cases, standard levels could be misleading unless specifically looked for.</w:t>
      </w:r>
    </w:p>
    <w:p>
      <w:pPr>
        <w:pStyle w:val="FirstParagraph"/>
      </w:pPr>
      <w:r>
        <w:t xml:space="preserve">The table below summarizes</w:t>
      </w:r>
      <w:r>
        <w:t xml:space="preserve"> </w:t>
      </w:r>
      <w:r>
        <w:rPr>
          <w:b/>
          <w:bCs/>
        </w:rPr>
        <w:t xml:space="preserve">select examples of “blood-normal but ineffective” states</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Biomarker</w:t>
            </w:r>
          </w:p>
        </w:tc>
        <w:tc>
          <w:tcPr/>
          <w:p>
            <w:pPr>
              <w:pStyle w:val="Compact"/>
            </w:pPr>
            <w:r>
              <w:rPr>
                <w:b/>
                <w:bCs/>
              </w:rPr>
              <w:t xml:space="preserve">Serum Level</w:t>
            </w:r>
          </w:p>
        </w:tc>
        <w:tc>
          <w:tcPr/>
          <w:p>
            <w:pPr>
              <w:pStyle w:val="Compact"/>
            </w:pPr>
            <w:r>
              <w:rPr>
                <w:b/>
                <w:bCs/>
              </w:rPr>
              <w:t xml:space="preserve">Mechanism of Dysfunction</w:t>
            </w:r>
          </w:p>
        </w:tc>
        <w:tc>
          <w:tcPr/>
          <w:p>
            <w:pPr>
              <w:pStyle w:val="Compact"/>
            </w:pPr>
            <w:r>
              <w:rPr>
                <w:b/>
                <w:bCs/>
              </w:rPr>
              <w:t xml:space="preserve">Condition / Syndrome</w:t>
            </w:r>
          </w:p>
        </w:tc>
        <w:tc>
          <w:tcPr/>
          <w:p>
            <w:pPr>
              <w:pStyle w:val="Compact"/>
            </w:pPr>
            <w:r>
              <w:rPr>
                <w:b/>
                <w:bCs/>
              </w:rPr>
              <w:t xml:space="preserve">Diagnostic Clues</w:t>
            </w:r>
          </w:p>
        </w:tc>
      </w:tr>
      <w:tr>
        <w:tc>
          <w:tcPr/>
          <w:p>
            <w:pPr>
              <w:pStyle w:val="Compact"/>
            </w:pPr>
            <w:r>
              <w:rPr>
                <w:b/>
                <w:bCs/>
              </w:rPr>
              <w:t xml:space="preserve">Vitamin B₁₂ (Cobalamin)</w:t>
            </w:r>
          </w:p>
        </w:tc>
        <w:tc>
          <w:tcPr/>
          <w:p>
            <w:pPr>
              <w:pStyle w:val="Compact"/>
            </w:pPr>
            <w:r>
              <w:t xml:space="preserve">Normal or low-normal (in some cases elevated if supplementation)</w:t>
            </w:r>
          </w:p>
        </w:tc>
        <w:tc>
          <w:tcPr/>
          <w:p>
            <w:pPr>
              <w:pStyle w:val="Compact"/>
            </w:pPr>
            <w:r>
              <w:t xml:space="preserve">Failure of cellular uptake or activation (e.g. transcobalamin II deficiency, N₂O exposure inactivating B₁₂)</w:t>
            </w:r>
          </w:p>
        </w:tc>
        <w:tc>
          <w:tcPr/>
          <w:p>
            <w:pPr>
              <w:pStyle w:val="Compact"/>
            </w:pPr>
            <w:r>
              <w:rPr>
                <w:i/>
                <w:iCs/>
              </w:rPr>
              <w:t xml:space="preserve">Functional B₁₂ deficiency</w:t>
            </w:r>
            <w:r>
              <w:t xml:space="preserve"> </w:t>
            </w:r>
            <w:r>
              <w:t xml:space="preserve">(tissue-level B₁₂ lack despite normal B₁₂)</w:t>
            </w:r>
            <w:hyperlink r:id="rId32">
              <w:r>
                <w:rPr>
                  <w:rStyle w:val="Hyperlink"/>
                </w:rPr>
                <w:t xml:space="preserve">[11]</w:t>
              </w:r>
            </w:hyperlink>
            <w:hyperlink r:id="rId33">
              <w:r>
                <w:rPr>
                  <w:rStyle w:val="Hyperlink"/>
                </w:rPr>
                <w:t xml:space="preserve">[12]</w:t>
              </w:r>
            </w:hyperlink>
            <w:r>
              <w:t xml:space="preserve">. Also seen in genetic cobalamin metabolism disorders.</w:t>
            </w:r>
          </w:p>
        </w:tc>
        <w:tc>
          <w:tcPr/>
          <w:p>
            <w:pPr>
              <w:pStyle w:val="Compact"/>
            </w:pPr>
            <w:r>
              <w:t xml:space="preserve">Elevated</w:t>
            </w:r>
            <w:r>
              <w:t xml:space="preserve"> </w:t>
            </w:r>
            <w:r>
              <w:rPr>
                <w:b/>
                <w:bCs/>
              </w:rPr>
              <w:t xml:space="preserve">methylmalonic acid</w:t>
            </w:r>
            <w:r>
              <w:t xml:space="preserve"> </w:t>
            </w:r>
            <w:r>
              <w:t xml:space="preserve">and</w:t>
            </w:r>
            <w:r>
              <w:t xml:space="preserve"> </w:t>
            </w:r>
            <w:r>
              <w:rPr>
                <w:b/>
                <w:bCs/>
              </w:rPr>
              <w:t xml:space="preserve">homocysteine</w:t>
            </w:r>
            <w:r>
              <w:t xml:space="preserve"> </w:t>
            </w:r>
            <w:r>
              <w:t xml:space="preserve">despite normal B₁₂</w:t>
            </w:r>
            <w:hyperlink r:id="rId23">
              <w:r>
                <w:rPr>
                  <w:rStyle w:val="Hyperlink"/>
                </w:rPr>
                <w:t xml:space="preserve">[3]</w:t>
              </w:r>
            </w:hyperlink>
            <w:r>
              <w:t xml:space="preserve">; neurological symptoms (e.g. subacute combined degeneration) can occur with normal B₁₂</w:t>
            </w:r>
            <w:hyperlink r:id="rId32">
              <w:r>
                <w:rPr>
                  <w:rStyle w:val="Hyperlink"/>
                </w:rPr>
                <w:t xml:space="preserve">[11]</w:t>
              </w:r>
            </w:hyperlink>
            <w:r>
              <w:t xml:space="preserve">.</w:t>
            </w:r>
          </w:p>
        </w:tc>
      </w:tr>
      <w:tr>
        <w:tc>
          <w:tcPr/>
          <w:p>
            <w:pPr>
              <w:pStyle w:val="Compact"/>
            </w:pPr>
            <w:r>
              <w:rPr>
                <w:b/>
                <w:bCs/>
              </w:rPr>
              <w:t xml:space="preserve">Folate</w:t>
            </w:r>
          </w:p>
        </w:tc>
        <w:tc>
          <w:tcPr/>
          <w:p>
            <w:pPr>
              <w:pStyle w:val="Compact"/>
            </w:pPr>
            <w:r>
              <w:t xml:space="preserve">Normal serum folate</w:t>
            </w:r>
          </w:p>
        </w:tc>
        <w:tc>
          <w:tcPr/>
          <w:p>
            <w:pPr>
              <w:pStyle w:val="Compact"/>
            </w:pPr>
            <w:r>
              <w:t xml:space="preserve">Blocked transport to target (e.g. folate receptor autoantibody blocking BBB) or conversion issues</w:t>
            </w:r>
          </w:p>
        </w:tc>
        <w:tc>
          <w:tcPr/>
          <w:p>
            <w:pPr>
              <w:pStyle w:val="Compact"/>
            </w:pPr>
            <w:r>
              <w:rPr>
                <w:i/>
                <w:iCs/>
              </w:rPr>
              <w:t xml:space="preserve">Cerebral folate deficiency (CFD)</w:t>
            </w:r>
            <w:r>
              <w:t xml:space="preserve"> </w:t>
            </w:r>
            <w:r>
              <w:t xml:space="preserve">– low CSF folate with normal blood folate</w:t>
            </w:r>
            <w:hyperlink r:id="rId24">
              <w:r>
                <w:rPr>
                  <w:rStyle w:val="Hyperlink"/>
                </w:rPr>
                <w:t xml:space="preserve">[4]</w:t>
              </w:r>
            </w:hyperlink>
            <w:r>
              <w:t xml:space="preserve">; or DHFR/MTHFR-related utilization issues.</w:t>
            </w:r>
          </w:p>
        </w:tc>
        <w:tc>
          <w:tcPr/>
          <w:p>
            <w:pPr>
              <w:pStyle w:val="Compact"/>
            </w:pPr>
            <w:r>
              <w:rPr>
                <w:b/>
                <w:bCs/>
              </w:rPr>
              <w:t xml:space="preserve">Low CSF 5-MTHF</w:t>
            </w:r>
            <w:r>
              <w:t xml:space="preserve"> </w:t>
            </w:r>
            <w:r>
              <w:t xml:space="preserve">level</w:t>
            </w:r>
            <w:hyperlink r:id="rId24">
              <w:r>
                <w:rPr>
                  <w:rStyle w:val="Hyperlink"/>
                </w:rPr>
                <w:t xml:space="preserve">[4]</w:t>
              </w:r>
            </w:hyperlink>
            <w:r>
              <w:t xml:space="preserve">; presence of</w:t>
            </w:r>
            <w:r>
              <w:t xml:space="preserve"> </w:t>
            </w:r>
            <w:r>
              <w:rPr>
                <w:b/>
                <w:bCs/>
              </w:rPr>
              <w:t xml:space="preserve">folate receptor autoantibodies</w:t>
            </w:r>
            <w:r>
              <w:t xml:space="preserve"> </w:t>
            </w:r>
            <w:r>
              <w:t xml:space="preserve">in serum (in autoimmune CFD); clinical improvement with folinic acid.</w:t>
            </w:r>
          </w:p>
        </w:tc>
      </w:tr>
      <w:tr>
        <w:tc>
          <w:tcPr/>
          <w:p>
            <w:pPr>
              <w:pStyle w:val="Compact"/>
            </w:pPr>
            <w:r>
              <w:rPr>
                <w:b/>
                <w:bCs/>
              </w:rPr>
              <w:t xml:space="preserve">Iron</w:t>
            </w:r>
          </w:p>
        </w:tc>
        <w:tc>
          <w:tcPr/>
          <w:p>
            <w:pPr>
              <w:pStyle w:val="Compact"/>
            </w:pPr>
            <w:r>
              <w:t xml:space="preserve">Ferritin normal or high; Fe/TIBC (TSAT) low</w:t>
            </w:r>
          </w:p>
        </w:tc>
        <w:tc>
          <w:tcPr/>
          <w:p>
            <w:pPr>
              <w:pStyle w:val="Compact"/>
            </w:pPr>
            <w:r>
              <w:t xml:space="preserve">Sequestration of iron in stores, not released for use (often due to high hepcidin in inflammation)</w:t>
            </w:r>
          </w:p>
        </w:tc>
        <w:tc>
          <w:tcPr/>
          <w:p>
            <w:pPr>
              <w:pStyle w:val="Compact"/>
            </w:pPr>
            <w:r>
              <w:rPr>
                <w:i/>
                <w:iCs/>
              </w:rPr>
              <w:t xml:space="preserve">Functional Iron Deficiency</w:t>
            </w:r>
            <w:r>
              <w:t xml:space="preserve"> </w:t>
            </w:r>
            <w:r>
              <w:t xml:space="preserve">(especially in anemia of chronic disease or CKD)</w:t>
            </w:r>
            <w:hyperlink r:id="rId43">
              <w:r>
                <w:rPr>
                  <w:rStyle w:val="Hyperlink"/>
                </w:rPr>
                <w:t xml:space="preserve">[22]</w:t>
              </w:r>
            </w:hyperlink>
            <w:hyperlink r:id="rId38">
              <w:r>
                <w:rPr>
                  <w:rStyle w:val="Hyperlink"/>
                </w:rPr>
                <w:t xml:space="preserve">[17]</w:t>
              </w:r>
            </w:hyperlink>
            <w:r>
              <w:t xml:space="preserve">. Iron present but “unavailable” for erythropoiesis.</w:t>
            </w:r>
          </w:p>
        </w:tc>
        <w:tc>
          <w:tcPr/>
          <w:p>
            <w:pPr>
              <w:pStyle w:val="Compact"/>
            </w:pPr>
            <w:r>
              <w:rPr>
                <w:b/>
                <w:bCs/>
              </w:rPr>
              <w:t xml:space="preserve">Low transferrin saturation</w:t>
            </w:r>
            <w:r>
              <w:t xml:space="preserve"> </w:t>
            </w:r>
            <w:r>
              <w:t xml:space="preserve">with</w:t>
            </w:r>
            <w:r>
              <w:t xml:space="preserve"> </w:t>
            </w:r>
            <w:r>
              <w:rPr>
                <w:b/>
                <w:bCs/>
              </w:rPr>
              <w:t xml:space="preserve">normal/high ferritin</w:t>
            </w:r>
            <w:hyperlink r:id="rId43">
              <w:r>
                <w:rPr>
                  <w:rStyle w:val="Hyperlink"/>
                </w:rPr>
                <w:t xml:space="preserve">[22]</w:t>
              </w:r>
            </w:hyperlink>
            <w:hyperlink r:id="rId38">
              <w:r>
                <w:rPr>
                  <w:rStyle w:val="Hyperlink"/>
                </w:rPr>
                <w:t xml:space="preserve">[23]</w:t>
              </w:r>
            </w:hyperlink>
            <w:r>
              <w:t xml:space="preserve">; anemia with high ferritin. High</w:t>
            </w:r>
            <w:r>
              <w:t xml:space="preserve"> </w:t>
            </w:r>
            <w:r>
              <w:rPr>
                <w:b/>
                <w:bCs/>
              </w:rPr>
              <w:t xml:space="preserve">soluble transferrin receptor</w:t>
            </w:r>
            <w:r>
              <w:t xml:space="preserve"> </w:t>
            </w:r>
            <w:r>
              <w:t xml:space="preserve">levels can also indicate iron-lockup.</w:t>
            </w:r>
          </w:p>
        </w:tc>
      </w:tr>
      <w:tr>
        <w:tc>
          <w:tcPr/>
          <w:p>
            <w:pPr>
              <w:pStyle w:val="Compact"/>
            </w:pPr>
            <w:r>
              <w:rPr>
                <w:b/>
                <w:bCs/>
              </w:rPr>
              <w:t xml:space="preserve">Vitamin D</w:t>
            </w:r>
          </w:p>
        </w:tc>
        <w:tc>
          <w:tcPr/>
          <w:p>
            <w:pPr>
              <w:pStyle w:val="Compact"/>
            </w:pPr>
            <w:r>
              <w:t xml:space="preserve">25-OH-D normal (or even high); 1,25-D maybe high or low depending on type</w:t>
            </w:r>
          </w:p>
        </w:tc>
        <w:tc>
          <w:tcPr/>
          <w:p>
            <w:pPr>
              <w:pStyle w:val="Compact"/>
            </w:pPr>
            <w:r>
              <w:t xml:space="preserve">End-organ resistance (VDR mutation) or activation failure (1α-hydroxylase defect)</w:t>
            </w:r>
          </w:p>
        </w:tc>
        <w:tc>
          <w:tcPr/>
          <w:p>
            <w:pPr>
              <w:pStyle w:val="Compact"/>
            </w:pPr>
            <w:r>
              <w:rPr>
                <w:i/>
                <w:iCs/>
              </w:rPr>
              <w:t xml:space="preserve">HVDRR (Hereditary Vit D–Resistant Rickets)</w:t>
            </w:r>
            <w:r>
              <w:t xml:space="preserve"> </w:t>
            </w:r>
            <w:r>
              <w:t xml:space="preserve">– VDR receptor defect</w:t>
            </w:r>
            <w:hyperlink r:id="rId26">
              <w:r>
                <w:rPr>
                  <w:rStyle w:val="Hyperlink"/>
                </w:rPr>
                <w:t xml:space="preserve">[6]</w:t>
              </w:r>
            </w:hyperlink>
            <w:r>
              <w:t xml:space="preserve">;</w:t>
            </w:r>
            <w:r>
              <w:t xml:space="preserve"> </w:t>
            </w:r>
            <w:r>
              <w:rPr>
                <w:i/>
                <w:iCs/>
              </w:rPr>
              <w:t xml:space="preserve">VDDR type I</w:t>
            </w:r>
            <w:r>
              <w:t xml:space="preserve"> </w:t>
            </w:r>
            <w:r>
              <w:t xml:space="preserve">– renal activation defect. Also severe magnesium deficiency can cause pseudoresistance.</w:t>
            </w:r>
          </w:p>
        </w:tc>
        <w:tc>
          <w:tcPr/>
          <w:p>
            <w:pPr>
              <w:pStyle w:val="Compact"/>
            </w:pPr>
            <w:r>
              <w:rPr>
                <w:b/>
                <w:bCs/>
              </w:rPr>
              <w:t xml:space="preserve">Hypocalcemia, high PTH, rickets</w:t>
            </w:r>
            <w:r>
              <w:t xml:space="preserve"> </w:t>
            </w:r>
            <w:r>
              <w:t xml:space="preserve">despite normal 25-OH-D. In VDR defect:</w:t>
            </w:r>
            <w:r>
              <w:t xml:space="preserve"> </w:t>
            </w:r>
            <w:r>
              <w:rPr>
                <w:b/>
                <w:bCs/>
              </w:rPr>
              <w:t xml:space="preserve">elevated 1,25-D</w:t>
            </w:r>
            <w:r>
              <w:t xml:space="preserve"> </w:t>
            </w:r>
            <w:r>
              <w:t xml:space="preserve">(ineffective feedback)</w:t>
            </w:r>
            <w:hyperlink r:id="rId26">
              <w:r>
                <w:rPr>
                  <w:rStyle w:val="Hyperlink"/>
                </w:rPr>
                <w:t xml:space="preserve">[6]</w:t>
              </w:r>
            </w:hyperlink>
            <w:r>
              <w:t xml:space="preserve">. In 1α-OH defect:</w:t>
            </w:r>
            <w:r>
              <w:t xml:space="preserve"> </w:t>
            </w:r>
            <w:r>
              <w:rPr>
                <w:b/>
                <w:bCs/>
              </w:rPr>
              <w:t xml:space="preserve">low 1,25-D</w:t>
            </w:r>
            <w:r>
              <w:t xml:space="preserve">. Genetic testing for VDR or enzyme mutation confirms.</w:t>
            </w:r>
          </w:p>
        </w:tc>
      </w:tr>
      <w:tr>
        <w:tc>
          <w:tcPr/>
          <w:p>
            <w:pPr>
              <w:pStyle w:val="Compact"/>
            </w:pPr>
            <w:r>
              <w:rPr>
                <w:b/>
                <w:bCs/>
              </w:rPr>
              <w:t xml:space="preserve">Thyroid Hormone</w:t>
            </w:r>
          </w:p>
        </w:tc>
        <w:tc>
          <w:tcPr/>
          <w:p>
            <w:pPr>
              <w:pStyle w:val="Compact"/>
            </w:pPr>
            <w:r>
              <w:t xml:space="preserve">T₄ and T₃ high-normal or elevated; TSH normal or high</w:t>
            </w:r>
          </w:p>
        </w:tc>
        <w:tc>
          <w:tcPr/>
          <w:p>
            <w:pPr>
              <w:pStyle w:val="Compact"/>
            </w:pPr>
            <w:r>
              <w:t xml:space="preserve">Receptor or cellular resistance; also transport defects into cells</w:t>
            </w:r>
          </w:p>
        </w:tc>
        <w:tc>
          <w:tcPr/>
          <w:p>
            <w:pPr>
              <w:pStyle w:val="Compact"/>
            </w:pPr>
            <w:r>
              <w:rPr>
                <w:i/>
                <w:iCs/>
              </w:rPr>
              <w:t xml:space="preserve">Generalized Resistance to Thyroid Hormone (RTH)</w:t>
            </w:r>
            <w:r>
              <w:t xml:space="preserve"> </w:t>
            </w:r>
            <w:r>
              <w:t xml:space="preserve">– usually THRB gene mutation</w:t>
            </w:r>
            <w:hyperlink r:id="rId25">
              <w:r>
                <w:rPr>
                  <w:rStyle w:val="Hyperlink"/>
                </w:rPr>
                <w:t xml:space="preserve">[8]</w:t>
              </w:r>
            </w:hyperlink>
            <w:r>
              <w:t xml:space="preserve">;</w:t>
            </w:r>
            <w:r>
              <w:t xml:space="preserve"> </w:t>
            </w:r>
            <w:r>
              <w:rPr>
                <w:i/>
                <w:iCs/>
              </w:rPr>
              <w:t xml:space="preserve">Allan–Herndon–Dudley Syndrome</w:t>
            </w:r>
            <w:r>
              <w:t xml:space="preserve"> </w:t>
            </w:r>
            <w:r>
              <w:t xml:space="preserve">(MCT8 transporter defect) – impaired T₃ uptake to brain</w:t>
            </w:r>
            <w:hyperlink r:id="rId36">
              <w:r>
                <w:rPr>
                  <w:rStyle w:val="Hyperlink"/>
                </w:rPr>
                <w:t xml:space="preserve">[14]</w:t>
              </w:r>
            </w:hyperlink>
            <w:r>
              <w:t xml:space="preserve">.</w:t>
            </w:r>
          </w:p>
        </w:tc>
        <w:tc>
          <w:tcPr/>
          <w:p>
            <w:pPr>
              <w:pStyle w:val="Compact"/>
            </w:pPr>
            <w:r>
              <w:rPr>
                <w:b/>
                <w:bCs/>
              </w:rPr>
              <w:t xml:space="preserve">Elevated T₃/T₄ with non-suppressed TSH</w:t>
            </w:r>
            <w:hyperlink r:id="rId25">
              <w:r>
                <w:rPr>
                  <w:rStyle w:val="Hyperlink"/>
                </w:rPr>
                <w:t xml:space="preserve">[8]</w:t>
              </w:r>
            </w:hyperlink>
            <w:r>
              <w:t xml:space="preserve">. Clinical euthyroid or mild hyperthyroid signs. For MCT8:</w:t>
            </w:r>
            <w:r>
              <w:t xml:space="preserve"> </w:t>
            </w:r>
            <w:r>
              <w:rPr>
                <w:b/>
                <w:bCs/>
              </w:rPr>
              <w:t xml:space="preserve">high T₃, low T₄, normal-ish TSH</w:t>
            </w:r>
            <w:r>
              <w:t xml:space="preserve"> </w:t>
            </w:r>
            <w:r>
              <w:t xml:space="preserve">plus infantile hypotonia. Diagnosed by genetic testing.</w:t>
            </w:r>
          </w:p>
        </w:tc>
      </w:tr>
      <w:tr>
        <w:tc>
          <w:tcPr/>
          <w:p>
            <w:pPr>
              <w:pStyle w:val="Compact"/>
            </w:pPr>
            <w:r>
              <w:rPr>
                <w:b/>
                <w:bCs/>
              </w:rPr>
              <w:t xml:space="preserve">Thiamine (B₁)</w:t>
            </w:r>
          </w:p>
        </w:tc>
        <w:tc>
          <w:tcPr/>
          <w:p>
            <w:pPr>
              <w:pStyle w:val="Compact"/>
            </w:pPr>
            <w:r>
              <w:t xml:space="preserve">Normal</w:t>
            </w:r>
          </w:p>
        </w:tc>
        <w:tc>
          <w:tcPr/>
          <w:p>
            <w:pPr>
              <w:pStyle w:val="Compact"/>
            </w:pPr>
            <w:r>
              <w:t xml:space="preserve">Functional inhibition by metabolite or cofactor issue</w:t>
            </w:r>
          </w:p>
        </w:tc>
        <w:tc>
          <w:tcPr/>
          <w:p>
            <w:pPr>
              <w:pStyle w:val="Compact"/>
            </w:pPr>
            <w:r>
              <w:rPr>
                <w:i/>
                <w:iCs/>
              </w:rPr>
              <w:t xml:space="preserve">Uremic oxythiamine accumulation</w:t>
            </w:r>
            <w:r>
              <w:t xml:space="preserve"> </w:t>
            </w:r>
            <w:r>
              <w:t xml:space="preserve">– ESRD-related functional B₁ deficiency</w:t>
            </w:r>
            <w:hyperlink r:id="rId41">
              <w:r>
                <w:rPr>
                  <w:rStyle w:val="Hyperlink"/>
                </w:rPr>
                <w:t xml:space="preserve">[20]</w:t>
              </w:r>
            </w:hyperlink>
            <w:r>
              <w:t xml:space="preserve">; also Wernicke’s in HIV patients with normal thiamine due to impaired transport into tissues has been hypothesized.</w:t>
            </w:r>
          </w:p>
        </w:tc>
        <w:tc>
          <w:tcPr/>
          <w:p>
            <w:pPr>
              <w:pStyle w:val="Compact"/>
            </w:pPr>
            <w:r>
              <w:rPr>
                <w:b/>
                <w:bCs/>
              </w:rPr>
              <w:t xml:space="preserve">Unexplained lactic acidosis or neurological symptoms</w:t>
            </w:r>
            <w:r>
              <w:t xml:space="preserve"> </w:t>
            </w:r>
            <w:r>
              <w:t xml:space="preserve">in setting of normal thiamine level; improvement with thiamine therapy. (Research finding:</w:t>
            </w:r>
            <w:r>
              <w:t xml:space="preserve"> </w:t>
            </w:r>
            <w:r>
              <w:rPr>
                <w:b/>
                <w:bCs/>
              </w:rPr>
              <w:t xml:space="preserve">oxy-thiamine high</w:t>
            </w:r>
            <w:r>
              <w:t xml:space="preserve"> </w:t>
            </w:r>
            <w:r>
              <w:t xml:space="preserve">in plasma</w:t>
            </w:r>
            <w:hyperlink r:id="rId41">
              <w:r>
                <w:rPr>
                  <w:rStyle w:val="Hyperlink"/>
                </w:rPr>
                <w:t xml:space="preserve">[20]</w:t>
              </w:r>
            </w:hyperlink>
            <w:r>
              <w:t xml:space="preserve">.)</w:t>
            </w:r>
          </w:p>
        </w:tc>
      </w:tr>
      <w:tr>
        <w:tc>
          <w:tcPr/>
          <w:p>
            <w:pPr>
              <w:pStyle w:val="Compact"/>
            </w:pPr>
            <w:r>
              <w:rPr>
                <w:b/>
                <w:bCs/>
              </w:rPr>
              <w:t xml:space="preserve">Magnesium</w:t>
            </w:r>
          </w:p>
        </w:tc>
        <w:tc>
          <w:tcPr/>
          <w:p>
            <w:pPr>
              <w:pStyle w:val="Compact"/>
            </w:pPr>
            <w:r>
              <w:t xml:space="preserve">Serum Mg²⁺ often normal</w:t>
            </w:r>
          </w:p>
        </w:tc>
        <w:tc>
          <w:tcPr/>
          <w:p>
            <w:pPr>
              <w:pStyle w:val="Compact"/>
            </w:pPr>
            <w:r>
              <w:t xml:space="preserve">99% of Mg is intracellular or in bone; serum can appear normal despite total body depletion</w:t>
            </w:r>
          </w:p>
        </w:tc>
        <w:tc>
          <w:tcPr/>
          <w:p>
            <w:pPr>
              <w:pStyle w:val="Compact"/>
            </w:pPr>
            <w:r>
              <w:rPr>
                <w:i/>
                <w:iCs/>
              </w:rPr>
              <w:t xml:space="preserve">Tissue magnesium deficiency</w:t>
            </w:r>
            <w:r>
              <w:t xml:space="preserve"> </w:t>
            </w:r>
            <w:r>
              <w:t xml:space="preserve">– common in ICU alcohol withdrawal etc., or in refractory hypokalemia cases. Not a named syndrome, but widely recognized that</w:t>
            </w:r>
            <w:r>
              <w:t xml:space="preserve"> </w:t>
            </w:r>
            <w:r>
              <w:rPr>
                <w:b/>
                <w:bCs/>
              </w:rPr>
              <w:t xml:space="preserve">normal serum Mg doesn’t rule out deficiency</w:t>
            </w:r>
            <w:hyperlink r:id="rId44">
              <w:r>
                <w:rPr>
                  <w:rStyle w:val="Hyperlink"/>
                </w:rPr>
                <w:t xml:space="preserve">[24]</w:t>
              </w:r>
            </w:hyperlink>
            <w:r>
              <w:t xml:space="preserve">.</w:t>
            </w:r>
          </w:p>
        </w:tc>
        <w:tc>
          <w:tcPr/>
          <w:p>
            <w:pPr>
              <w:pStyle w:val="Compact"/>
            </w:pPr>
            <w:r>
              <w:t xml:space="preserve">Clinical context (e.g. arrhythmias, neuromuscular irritability) out of proportion to serum Mg.</w:t>
            </w:r>
            <w:r>
              <w:t xml:space="preserve"> </w:t>
            </w:r>
            <w:r>
              <w:rPr>
                <w:b/>
                <w:bCs/>
              </w:rPr>
              <w:t xml:space="preserve">RBC magnesium</w:t>
            </w:r>
            <w:r>
              <w:t xml:space="preserve"> </w:t>
            </w:r>
            <w:r>
              <w:t xml:space="preserve">or</w:t>
            </w:r>
            <w:r>
              <w:t xml:space="preserve"> </w:t>
            </w:r>
            <w:r>
              <w:rPr>
                <w:b/>
                <w:bCs/>
              </w:rPr>
              <w:t xml:space="preserve">Magnesium loading test</w:t>
            </w:r>
            <w:r>
              <w:t xml:space="preserve"> </w:t>
            </w:r>
            <w:r>
              <w:t xml:space="preserve">can demonstrate deficit.</w:t>
            </w:r>
          </w:p>
        </w:tc>
      </w:tr>
      <w:tr>
        <w:tc>
          <w:tcPr/>
          <w:p>
            <w:pPr>
              <w:pStyle w:val="Compact"/>
            </w:pPr>
            <w:r>
              <w:rPr>
                <w:b/>
                <w:bCs/>
              </w:rPr>
              <w:t xml:space="preserve">Others</w:t>
            </w:r>
          </w:p>
        </w:tc>
        <w:tc>
          <w:tcPr/>
          <w:p>
            <w:pPr>
              <w:pStyle w:val="Compact"/>
            </w:pPr>
            <w:r>
              <w:t xml:space="preserve">(Varies)</w:t>
            </w:r>
          </w:p>
        </w:tc>
        <w:tc>
          <w:tcPr/>
          <w:p>
            <w:pPr>
              <w:pStyle w:val="Compact"/>
            </w:pPr>
            <w:r>
              <w:t xml:space="preserve">Numerous other examples exist: e.g.</w:t>
            </w:r>
            <w:r>
              <w:t xml:space="preserve"> </w:t>
            </w:r>
            <w:r>
              <w:rPr>
                <w:b/>
                <w:bCs/>
              </w:rPr>
              <w:t xml:space="preserve">Biotinidase deficiency</w:t>
            </w:r>
            <w:r>
              <w:t xml:space="preserve"> </w:t>
            </w:r>
            <w:r>
              <w:t xml:space="preserve">(can have normal biotin until stores deplete, then functional lack),</w:t>
            </w:r>
            <w:r>
              <w:t xml:space="preserve"> </w:t>
            </w:r>
            <w:r>
              <w:rPr>
                <w:b/>
                <w:bCs/>
              </w:rPr>
              <w:t xml:space="preserve">Carnitine uptake defects</w:t>
            </w:r>
            <w:r>
              <w:t xml:space="preserve"> </w:t>
            </w:r>
            <w:r>
              <w:t xml:space="preserve">(serum carnitine might be normal but muscles deficient), etc.</w:t>
            </w:r>
          </w:p>
        </w:tc>
        <w:tc>
          <w:tcPr/>
          <w:p>
            <w:pPr>
              <w:pStyle w:val="Compact"/>
            </w:pPr>
            <w:r>
              <w:t xml:space="preserve">–</w:t>
            </w:r>
          </w:p>
        </w:tc>
        <w:tc>
          <w:tcPr/>
          <w:p>
            <w:pPr>
              <w:pStyle w:val="Compact"/>
            </w:pPr>
            <w:r>
              <w:rPr>
                <w:b/>
                <w:bCs/>
              </w:rPr>
              <w:t xml:space="preserve">Specialty tests</w:t>
            </w:r>
            <w:r>
              <w:t xml:space="preserve"> </w:t>
            </w:r>
            <w:r>
              <w:t xml:space="preserve">(enzyme assays, genetic tests) often needed.</w:t>
            </w:r>
          </w:p>
        </w:tc>
      </w:tr>
    </w:tbl>
    <w:p>
      <w:pPr>
        <w:pStyle w:val="BodyText"/>
      </w:pPr>
      <w:r>
        <w:rPr>
          <w:i/>
          <w:iCs/>
        </w:rPr>
        <w:t xml:space="preserve">Table: Examples of conditions where serum levels are normal but functional availability is low. These illustrate various mechanisms (receptor resistance, transport block, etc.) leading to a “functional deficiency.”</w:t>
      </w:r>
      <w:r>
        <w:t xml:space="preserve"> </w:t>
      </w:r>
      <w:r>
        <w:t xml:space="preserve">Sources:</w:t>
      </w:r>
      <w:r>
        <w:t xml:space="preserve"> </w:t>
      </w:r>
      <w:hyperlink r:id="rId32">
        <w:r>
          <w:rPr>
            <w:rStyle w:val="Hyperlink"/>
          </w:rPr>
          <w:t xml:space="preserve">[11]</w:t>
        </w:r>
      </w:hyperlink>
      <w:hyperlink r:id="rId24">
        <w:r>
          <w:rPr>
            <w:rStyle w:val="Hyperlink"/>
          </w:rPr>
          <w:t xml:space="preserve">[4]</w:t>
        </w:r>
      </w:hyperlink>
      <w:hyperlink r:id="rId26">
        <w:r>
          <w:rPr>
            <w:rStyle w:val="Hyperlink"/>
          </w:rPr>
          <w:t xml:space="preserve">[6]</w:t>
        </w:r>
      </w:hyperlink>
      <w:hyperlink r:id="rId25">
        <w:r>
          <w:rPr>
            <w:rStyle w:val="Hyperlink"/>
          </w:rPr>
          <w:t xml:space="preserve">[8]</w:t>
        </w:r>
      </w:hyperlink>
      <w:hyperlink r:id="rId43">
        <w:r>
          <w:rPr>
            <w:rStyle w:val="Hyperlink"/>
          </w:rPr>
          <w:t xml:space="preserve">[22]</w:t>
        </w:r>
      </w:hyperlink>
      <w:r>
        <w:t xml:space="preserve">.</w:t>
      </w:r>
    </w:p>
    <w:bookmarkEnd w:id="45"/>
    <w:bookmarkEnd w:id="46"/>
    <w:bookmarkStart w:id="49" w:name="Xf280693f9fe613397dac4acbb02702d8134435f"/>
    <w:p>
      <w:pPr>
        <w:pStyle w:val="Heading2"/>
      </w:pPr>
      <w:r>
        <w:rPr>
          <w:b/>
          <w:bCs/>
        </w:rPr>
        <w:t xml:space="preserve">Existing Diagnostic Tests, Tools, and Logic for Detection</w:t>
      </w:r>
    </w:p>
    <w:p>
      <w:pPr>
        <w:pStyle w:val="FirstParagraph"/>
      </w:pPr>
      <w:r>
        <w:t xml:space="preserve">Clinicians and laboratories have developed</w:t>
      </w:r>
      <w:r>
        <w:t xml:space="preserve"> </w:t>
      </w:r>
      <w:r>
        <w:rPr>
          <w:b/>
          <w:bCs/>
        </w:rPr>
        <w:t xml:space="preserve">workarounds to detect these “invisible” deficiencies</w:t>
      </w:r>
      <w:r>
        <w:t xml:space="preserve">. Key strategies include:</w:t>
      </w:r>
    </w:p>
    <w:p>
      <w:pPr>
        <w:pStyle w:val="Compact"/>
        <w:numPr>
          <w:ilvl w:val="0"/>
          <w:numId w:val="1006"/>
        </w:numPr>
      </w:pPr>
      <w:r>
        <w:rPr>
          <w:b/>
          <w:bCs/>
        </w:rPr>
        <w:t xml:space="preserve">Use of Functional Biomarker Tests:</w:t>
      </w:r>
      <w:r>
        <w:t xml:space="preserve"> </w:t>
      </w:r>
      <w:r>
        <w:t xml:space="preserve">When a serum level can be misleading, doctors measure downstream metabolites or secondary indicators:</w:t>
      </w:r>
    </w:p>
    <w:p>
      <w:pPr>
        <w:numPr>
          <w:ilvl w:val="0"/>
          <w:numId w:val="1006"/>
        </w:numPr>
      </w:pPr>
      <w:r>
        <w:rPr>
          <w:i/>
          <w:iCs/>
        </w:rPr>
        <w:t xml:space="preserve">Methylmalonic Acid (MMA) and Homocysteine:</w:t>
      </w:r>
      <w:r>
        <w:t xml:space="preserve"> </w:t>
      </w:r>
      <w:r>
        <w:t xml:space="preserve">These are elevated when B₁₂ or folate is functionally low (since B₁₂/folate are needed to metabolize them). In the earlier example, the patient with normal B₁₂/folate had a markedly elevated homocysteine</w:t>
      </w:r>
      <w:hyperlink r:id="rId47">
        <w:r>
          <w:rPr>
            <w:rStyle w:val="Hyperlink"/>
          </w:rPr>
          <w:t xml:space="preserve">[25]</w:t>
        </w:r>
      </w:hyperlink>
      <w:r>
        <w:t xml:space="preserve">. Guidelines often recommend checking MMA and homocysteine if B₁₂ levels are low-normal but clinical suspicion is high</w:t>
      </w:r>
      <w:hyperlink r:id="rId22">
        <w:r>
          <w:rPr>
            <w:rStyle w:val="Hyperlink"/>
          </w:rPr>
          <w:t xml:space="preserve">[2]</w:t>
        </w:r>
      </w:hyperlink>
      <w:r>
        <w:t xml:space="preserve">. Many labs have reflex testing protocols: e.g. if B₁₂ comes back in the indeterminate range (say 200–300 pg/mL), the lab may automatically run an MMA. This helps unmask functional deficiencies. Indeed, it’s noted that</w:t>
      </w:r>
      <w:r>
        <w:t xml:space="preserve"> </w:t>
      </w:r>
      <w:r>
        <w:rPr>
          <w:i/>
          <w:iCs/>
        </w:rPr>
        <w:t xml:space="preserve">normal serum B₁₂ does not exclude tissue B₁₂ deficiency</w:t>
      </w:r>
      <w:hyperlink r:id="rId21">
        <w:r>
          <w:rPr>
            <w:rStyle w:val="Hyperlink"/>
          </w:rPr>
          <w:t xml:space="preserve">[1]</w:t>
        </w:r>
      </w:hyperlink>
      <w:r>
        <w:t xml:space="preserve">, so elevated MMA would clinch the diagnosis. Some case series of subacute combined degeneration (B₁₂ neuropathy) show patients with “normal” B₁₂ who only were diagnosed via MMA/homocysteine</w:t>
      </w:r>
      <w:hyperlink r:id="rId32">
        <w:r>
          <w:rPr>
            <w:rStyle w:val="Hyperlink"/>
          </w:rPr>
          <w:t xml:space="preserve">[11]</w:t>
        </w:r>
      </w:hyperlink>
      <w:r>
        <w:t xml:space="preserve">.</w:t>
      </w:r>
    </w:p>
    <w:p>
      <w:pPr>
        <w:numPr>
          <w:ilvl w:val="0"/>
          <w:numId w:val="1006"/>
        </w:numPr>
      </w:pPr>
      <w:r>
        <w:rPr>
          <w:i/>
          <w:iCs/>
        </w:rPr>
        <w:t xml:space="preserve">Active B₁₂ (Holotranscobalamin):</w:t>
      </w:r>
      <w:r>
        <w:t xml:space="preserve"> </w:t>
      </w:r>
      <w:r>
        <w:t xml:space="preserve">This newer assay measures the fraction of B₁₂ bound to transcobalamin (the bioavailable portion). It can sometimes catch deficiencies earlier than total B₁₂ level. For example, a patient with normal total B₁₂ but low holotranscobalamin likely has pending deficiency. U.K. guidelines suggest using active B₁₂ assays in certain scenarios (pregnancy, etc.)</w:t>
      </w:r>
      <w:hyperlink r:id="rId48">
        <w:r>
          <w:rPr>
            <w:rStyle w:val="Hyperlink"/>
          </w:rPr>
          <w:t xml:space="preserve">[26]</w:t>
        </w:r>
      </w:hyperlink>
      <w:r>
        <w:t xml:space="preserve">.</w:t>
      </w:r>
    </w:p>
    <w:p>
      <w:pPr>
        <w:numPr>
          <w:ilvl w:val="0"/>
          <w:numId w:val="1006"/>
        </w:numPr>
      </w:pPr>
      <w:r>
        <w:rPr>
          <w:i/>
          <w:iCs/>
        </w:rPr>
        <w:t xml:space="preserve">Transferrin Saturation and Soluble Transferrin Receptor (sTfR):</w:t>
      </w:r>
      <w:r>
        <w:t xml:space="preserve"> </w:t>
      </w:r>
      <w:r>
        <w:t xml:space="preserve">For iron, rather than relying on ferritin alone, clinicians look at transferrin saturation (% of iron-binding sites occupied) and sTfR levels. In functional iron deficiency (e.g. anemia of inflammation), ferritin is high (an acute-phase reactant), but transferrin saturation is low. High sTfR also indicates iron hunger in erythroid tissues. Some algorithms in hematology define iron deficiency in CKD as</w:t>
      </w:r>
      <w:r>
        <w:t xml:space="preserve"> </w:t>
      </w:r>
      <w:r>
        <w:rPr>
          <w:b/>
          <w:bCs/>
        </w:rPr>
        <w:t xml:space="preserve">TSAT &lt;20% and ferritin either &lt;100 (absolute) or &gt;100 (functional)</w:t>
      </w:r>
      <w:hyperlink r:id="rId38">
        <w:r>
          <w:rPr>
            <w:rStyle w:val="Hyperlink"/>
          </w:rPr>
          <w:t xml:space="preserve">[17]</w:t>
        </w:r>
      </w:hyperlink>
      <w:r>
        <w:t xml:space="preserve">. This has been adopted in nephrology guidelines (e.g. KDIGO) to decide IV iron therapy. In practice,</w:t>
      </w:r>
      <w:r>
        <w:t xml:space="preserve"> </w:t>
      </w:r>
      <w:r>
        <w:rPr>
          <w:i/>
          <w:iCs/>
        </w:rPr>
        <w:t xml:space="preserve">if a CKD patient has ferritin 300 (which would normally imply plenty of iron) but TSAT 15%, the system flags functional iron deficiency and recommends iron supplementation</w:t>
      </w:r>
      <w:hyperlink r:id="rId38">
        <w:r>
          <w:rPr>
            <w:rStyle w:val="Hyperlink"/>
          </w:rPr>
          <w:t xml:space="preserve">[18]</w:t>
        </w:r>
      </w:hyperlink>
      <w:r>
        <w:t xml:space="preserve">.</w:t>
      </w:r>
    </w:p>
    <w:p>
      <w:pPr>
        <w:numPr>
          <w:ilvl w:val="0"/>
          <w:numId w:val="1006"/>
        </w:numPr>
      </w:pPr>
      <w:r>
        <w:rPr>
          <w:i/>
          <w:iCs/>
        </w:rPr>
        <w:t xml:space="preserve">RBC Folate vs Serum Folate:</w:t>
      </w:r>
      <w:r>
        <w:t xml:space="preserve"> </w:t>
      </w:r>
      <w:r>
        <w:t xml:space="preserve">Red cell folate is a better indicator of tissue folate stores over the past 2-3 months, whereas serum folate fluctuates with diet. In some cases of borderline folate issues, an RBC folate can be low when serum folate is normal (e.g. recent meal). This can guide diagnosis of functional folate deficiency. Many labs automatically do RBC folate if serum folate is just above the cutoff and suspicion is present.</w:t>
      </w:r>
    </w:p>
    <w:p>
      <w:pPr>
        <w:numPr>
          <w:ilvl w:val="0"/>
          <w:numId w:val="1006"/>
        </w:numPr>
      </w:pPr>
      <w:r>
        <w:rPr>
          <w:i/>
          <w:iCs/>
        </w:rPr>
        <w:t xml:space="preserve">PTH and 1,25-D:</w:t>
      </w:r>
      <w:r>
        <w:t xml:space="preserve"> </w:t>
      </w:r>
      <w:r>
        <w:t xml:space="preserve">In cases of suspected vitamin D issues, an intact parathyroid hormone (PTH) level can reveal functional deficiency. For example, if 25-OH-D is ~30 ng/mL (low-normal) but PTH is high and patient has bone loss, it suggests tissue is “starved” for D (perhaps due to receptor issues or borderline status). Similarly, measuring 1,25-dihydroxyvitamin D can help: in HVDRR, 1,25-D is elevated (end-organ resistance); in 1α-hydroxylase deficiency, 1,25-D is very low. These are not routine tests but are used in endocrine workups when standard results don’t explain the picture.</w:t>
      </w:r>
    </w:p>
    <w:p>
      <w:pPr>
        <w:numPr>
          <w:ilvl w:val="0"/>
          <w:numId w:val="1006"/>
        </w:numPr>
      </w:pPr>
      <w:r>
        <w:rPr>
          <w:i/>
          <w:iCs/>
        </w:rPr>
        <w:t xml:space="preserve">CSF or Tissue Measurements:</w:t>
      </w:r>
      <w:r>
        <w:t xml:space="preserve"> </w:t>
      </w:r>
      <w:r>
        <w:t xml:space="preserve">As with cerebral folate deficiency (measuring CSF folate), sometimes the only way to diagnose is to sample the target compartment. Another example is</w:t>
      </w:r>
      <w:r>
        <w:t xml:space="preserve"> </w:t>
      </w:r>
      <w:r>
        <w:rPr>
          <w:i/>
          <w:iCs/>
        </w:rPr>
        <w:t xml:space="preserve">CSF neurotransmitter metabolites</w:t>
      </w:r>
      <w:r>
        <w:t xml:space="preserve"> </w:t>
      </w:r>
      <w:r>
        <w:t xml:space="preserve">in some inborn errors – the blood neurotransmitter might be normal, but CSF shows a deficit. While invasive, these tests are definitive for certain functional deficiencies isolated to an organ (brain, etc.). Muscle biopsies can measure enzyme activity (for metabolic myopathies) even if serum levels of substrates are normal.</w:t>
      </w:r>
    </w:p>
    <w:p>
      <w:pPr>
        <w:numPr>
          <w:ilvl w:val="0"/>
          <w:numId w:val="1006"/>
        </w:numPr>
      </w:pPr>
      <w:r>
        <w:rPr>
          <w:b/>
          <w:bCs/>
        </w:rPr>
        <w:t xml:space="preserve">Genetic Testing and Antibody Assays:</w:t>
      </w:r>
      <w:r>
        <w:t xml:space="preserve"> </w:t>
      </w:r>
      <w:r>
        <w:t xml:space="preserve">When a functional issue is suspected, clinicians may employ genetic tests (for known receptor or enzyme mutations) or antibody assays:</w:t>
      </w:r>
    </w:p>
    <w:p>
      <w:pPr>
        <w:pStyle w:val="Compact"/>
        <w:numPr>
          <w:ilvl w:val="0"/>
          <w:numId w:val="1006"/>
        </w:numPr>
      </w:pPr>
      <w:r>
        <w:t xml:space="preserve">Genetic panels for metabolic disorders (if an infant has unexplained symptoms but normal basic labs).</w:t>
      </w:r>
    </w:p>
    <w:p>
      <w:pPr>
        <w:pStyle w:val="Compact"/>
        <w:numPr>
          <w:ilvl w:val="0"/>
          <w:numId w:val="1006"/>
        </w:numPr>
      </w:pPr>
      <w:r>
        <w:t xml:space="preserve">Specific gene tests like THRB (for thyroid hormone resistance) if the hormone pattern is suggestive, or FOLR1 gene if cerebral folate deficiency is strongly suspected.</w:t>
      </w:r>
    </w:p>
    <w:p>
      <w:pPr>
        <w:numPr>
          <w:ilvl w:val="0"/>
          <w:numId w:val="1006"/>
        </w:numPr>
      </w:pPr>
      <w:r>
        <w:t xml:space="preserve">Antibody tests: intrinsic factor antibodies (pernicious anemia) even if B₁₂ is normal but with macrocytosis; folate receptor antibodies (if CFD suspected); insulin receptor antibodies in a non-obese patient with extreme insulin resistance, etc.</w:t>
      </w:r>
    </w:p>
    <w:p>
      <w:pPr>
        <w:numPr>
          <w:ilvl w:val="0"/>
          <w:numId w:val="1006"/>
        </w:numPr>
      </w:pPr>
      <w:r>
        <w:rPr>
          <w:b/>
          <w:bCs/>
        </w:rPr>
        <w:t xml:space="preserve">Clinical Decision Rules / Scoring:</w:t>
      </w:r>
      <w:r>
        <w:t xml:space="preserve"> </w:t>
      </w:r>
      <w:r>
        <w:t xml:space="preserve">Most of these conditions are rare enough that formal scoring systems are not widely used. Instead,</w:t>
      </w:r>
      <w:r>
        <w:t xml:space="preserve"> </w:t>
      </w:r>
      <w:r>
        <w:rPr>
          <w:b/>
          <w:bCs/>
        </w:rPr>
        <w:t xml:space="preserve">clinical algorithms or guidelines</w:t>
      </w:r>
      <w:r>
        <w:t xml:space="preserve"> </w:t>
      </w:r>
      <w:r>
        <w:t xml:space="preserve">embed the logic:</w:t>
      </w:r>
    </w:p>
    <w:p>
      <w:pPr>
        <w:pStyle w:val="Compact"/>
        <w:numPr>
          <w:ilvl w:val="0"/>
          <w:numId w:val="1006"/>
        </w:numPr>
      </w:pPr>
      <w:r>
        <w:t xml:space="preserve">For example, if</w:t>
      </w:r>
      <w:r>
        <w:t xml:space="preserve"> </w:t>
      </w:r>
      <w:r>
        <w:rPr>
          <w:b/>
          <w:bCs/>
        </w:rPr>
        <w:t xml:space="preserve">neurologic symptoms suggest B₁₂ deficiency but B₁₂ level is normal</w:t>
      </w:r>
      <w:r>
        <w:t xml:space="preserve">, guidelines say to</w:t>
      </w:r>
      <w:r>
        <w:t xml:space="preserve"> </w:t>
      </w:r>
      <w:r>
        <w:rPr>
          <w:b/>
          <w:bCs/>
        </w:rPr>
        <w:t xml:space="preserve">proceed to functional tests (MMA, homocysteine)</w:t>
      </w:r>
      <w:hyperlink r:id="rId22">
        <w:r>
          <w:rPr>
            <w:rStyle w:val="Hyperlink"/>
          </w:rPr>
          <w:t xml:space="preserve">[2]</w:t>
        </w:r>
      </w:hyperlink>
      <w:r>
        <w:t xml:space="preserve">. If those are abnormal, treat for B₁₂ deficiency regardless of serum level. The UK’s NICE guidance (as reflected in patient.info) explicitly notes that</w:t>
      </w:r>
      <w:r>
        <w:t xml:space="preserve"> </w:t>
      </w:r>
      <w:r>
        <w:rPr>
          <w:i/>
          <w:iCs/>
        </w:rPr>
        <w:t xml:space="preserve">neurologic complications like subacute combined degeneration can occur with normal B₁₂ levels and cites transcobalamin issues as a cause</w:t>
      </w:r>
      <w:hyperlink r:id="rId32">
        <w:r>
          <w:rPr>
            <w:rStyle w:val="Hyperlink"/>
          </w:rPr>
          <w:t xml:space="preserve">[11]</w:t>
        </w:r>
      </w:hyperlink>
      <w:r>
        <w:t xml:space="preserve">.</w:t>
      </w:r>
    </w:p>
    <w:p>
      <w:pPr>
        <w:pStyle w:val="Compact"/>
        <w:numPr>
          <w:ilvl w:val="0"/>
          <w:numId w:val="1006"/>
        </w:numPr>
      </w:pPr>
      <w:r>
        <w:t xml:space="preserve">Another example: In pediatrics, if a rachitic child has normal vitamin D, clinicians are prompted to consider</w:t>
      </w:r>
      <w:r>
        <w:t xml:space="preserve"> </w:t>
      </w:r>
      <w:r>
        <w:rPr>
          <w:i/>
          <w:iCs/>
        </w:rPr>
        <w:t xml:space="preserve">hypophosphatemic rickets or vitamin D resistance</w:t>
      </w:r>
      <w:r>
        <w:t xml:space="preserve"> </w:t>
      </w:r>
      <w:r>
        <w:t xml:space="preserve">rather than just concluding no rickets. Thus, the next steps (check phosphate, ALP, genetic tests) are triggered by that discrepancy.</w:t>
      </w:r>
    </w:p>
    <w:p>
      <w:pPr>
        <w:numPr>
          <w:ilvl w:val="0"/>
          <w:numId w:val="1006"/>
        </w:numPr>
      </w:pPr>
      <w:r>
        <w:t xml:space="preserve">Lab information systems sometimes include comments on reports: e.g. a normal B₁₂ result might come with a footnote, “If clinical suspicion of B₁₂ deficiency is strong, consider checking MMA,” alerting the provider to the possibility of functional deficiency. Similarly, a high ferritin in an anemic patient might have a comment, “Ferritin is an acute phase reactant and may be normal or elevated in anemia of chronic disease – correlate with transferrin saturation.”</w:t>
      </w:r>
    </w:p>
    <w:p>
      <w:pPr>
        <w:numPr>
          <w:ilvl w:val="0"/>
          <w:numId w:val="1006"/>
        </w:numPr>
      </w:pPr>
      <w:r>
        <w:rPr>
          <w:b/>
          <w:bCs/>
        </w:rPr>
        <w:t xml:space="preserve">Multivariate Patterns / AI:</w:t>
      </w:r>
      <w:r>
        <w:t xml:space="preserve"> </w:t>
      </w:r>
      <w:r>
        <w:t xml:space="preserve">In the era of machine learning, EHR-based clinical decision support could, in theory, flag patterns like “macrocytosis + anemia + neurologic symptoms + normal B₁₂ = consider functional B₁₂ deficiency.” Some diagnostic decision support systems (like Isabel, DXplain) have knowledge of these entities (e.g., if you input those features,</w:t>
      </w:r>
      <w:r>
        <w:t xml:space="preserve"> </w:t>
      </w:r>
      <w:r>
        <w:rPr>
          <w:i/>
          <w:iCs/>
        </w:rPr>
        <w:t xml:space="preserve">pernicious anemia</w:t>
      </w:r>
      <w:r>
        <w:t xml:space="preserve"> </w:t>
      </w:r>
      <w:r>
        <w:t xml:space="preserve">or</w:t>
      </w:r>
      <w:r>
        <w:t xml:space="preserve"> </w:t>
      </w:r>
      <w:r>
        <w:rPr>
          <w:i/>
          <w:iCs/>
        </w:rPr>
        <w:t xml:space="preserve">B₁₂ deficiency</w:t>
      </w:r>
      <w:r>
        <w:t xml:space="preserve"> </w:t>
      </w:r>
      <w:r>
        <w:t xml:space="preserve">might still be suggested even with a normal lab, especially if MMA is high). However, many current systems rely heavily on discrete lab thresholds, so without customization they might miss these cases.</w:t>
      </w:r>
    </w:p>
    <w:p>
      <w:pPr>
        <w:numPr>
          <w:ilvl w:val="0"/>
          <w:numId w:val="1006"/>
        </w:numPr>
      </w:pPr>
      <w:r>
        <w:rPr>
          <w:b/>
          <w:bCs/>
        </w:rPr>
        <w:t xml:space="preserve">Reflex Testing Protocols:</w:t>
      </w:r>
      <w:r>
        <w:t xml:space="preserve"> </w:t>
      </w:r>
      <w:r>
        <w:t xml:space="preserve">As mentioned, some health systems implement reflex tests for exactly these scenarios: a prime example is the reflex to MMA for borderline B₁₂. Another is reflex to soluble transferrin receptor if ferritin is high but anemia present. These protocols are a way to automate detection of a possible functional deficit. They are usually built on consensus guidelines or strong evidence that a second-tier test is warranted under certain conditions.</w:t>
      </w:r>
    </w:p>
    <w:p>
      <w:pPr>
        <w:pStyle w:val="FirstParagraph"/>
      </w:pPr>
      <w:r>
        <w:t xml:space="preserve">In summary,</w:t>
      </w:r>
      <w:r>
        <w:t xml:space="preserve"> </w:t>
      </w:r>
      <w:r>
        <w:rPr>
          <w:i/>
          <w:iCs/>
        </w:rPr>
        <w:t xml:space="preserve">the medical community recognizes these functional deficiencies and has tools to detect them, but it requires an extra step or a non-standard test.</w:t>
      </w:r>
      <w:r>
        <w:t xml:space="preserve"> </w:t>
      </w:r>
      <w:r>
        <w:t xml:space="preserve">It’s not “business as usual” because the screening tests (basic serum levels) are insufficient. Clinicians who are aware of this pitfall will either order the appropriate follow-up tests or empirically treat if the risk/benefit warrants (for instance, giving a trial of B₁₂ injections when suspicion is high, even if labs are normal – since B₁₂ is very safe and cheap). The existence of these practices implies that a savvy diagnostic system must incorporate similar logic:</w:t>
      </w:r>
      <w:r>
        <w:t xml:space="preserve"> </w:t>
      </w:r>
      <w:r>
        <w:rPr>
          <w:b/>
          <w:bCs/>
        </w:rPr>
        <w:t xml:space="preserve">if clinical evidence and lab results conflict, dig deeper</w:t>
      </w:r>
      <w:r>
        <w:t xml:space="preserve"> </w:t>
      </w:r>
      <w:r>
        <w:t xml:space="preserve">with either more specialized tests or at least a warning that a functional deficiency might be present.</w:t>
      </w:r>
    </w:p>
    <w:bookmarkEnd w:id="49"/>
    <w:bookmarkStart w:id="56" w:name="X38b9fc8ab7265c737d1a9497204888dd2157862"/>
    <w:p>
      <w:pPr>
        <w:pStyle w:val="Heading2"/>
      </w:pPr>
      <w:r>
        <w:rPr>
          <w:b/>
          <w:bCs/>
        </w:rPr>
        <w:t xml:space="preserve">Recognition in Clinical Ontologies and Decision Frameworks</w:t>
      </w:r>
    </w:p>
    <w:p>
      <w:pPr>
        <w:pStyle w:val="FirstParagraph"/>
      </w:pPr>
      <w:r>
        <w:t xml:space="preserve">Given the wide range of specific conditions, is there a</w:t>
      </w:r>
      <w:r>
        <w:t xml:space="preserve"> </w:t>
      </w:r>
      <w:r>
        <w:rPr>
          <w:b/>
          <w:bCs/>
        </w:rPr>
        <w:t xml:space="preserve">general classification or ontology</w:t>
      </w:r>
      <w:r>
        <w:t xml:space="preserve"> </w:t>
      </w:r>
      <w:r>
        <w:t xml:space="preserve">for “blood-normal but ineffective” states? Currently, it appears that:</w:t>
      </w:r>
    </w:p>
    <w:p>
      <w:pPr>
        <w:numPr>
          <w:ilvl w:val="0"/>
          <w:numId w:val="1007"/>
        </w:numPr>
      </w:pPr>
      <w:r>
        <w:rPr>
          <w:b/>
          <w:bCs/>
        </w:rPr>
        <w:t xml:space="preserve">Clinical Taxonomies:</w:t>
      </w:r>
      <w:r>
        <w:t xml:space="preserve"> </w:t>
      </w:r>
      <w:r>
        <w:t xml:space="preserve">Traditional classification systems (ICD-10, SNOMED CT) list specific diagnoses (e.g., “Resistance to thyroid hormone,” “Hereditary 1,25-dihydroxyvitamin D-resistant rickets,” “Cerebral folate deficiency”). These each have codes or concept IDs. However, there isn’t a single aggregate category for all such functional deficiencies. In SNOMED CT discussions, the concept of distinguishing “functional” vs “quantitative” deficiency has been raised. For example, one SNOMED briefing note asks how to differentiate disorders caused by</w:t>
      </w:r>
      <w:r>
        <w:t xml:space="preserve"> </w:t>
      </w:r>
      <w:r>
        <w:rPr>
          <w:i/>
          <w:iCs/>
        </w:rPr>
        <w:t xml:space="preserve">quantity deficiency</w:t>
      </w:r>
      <w:r>
        <w:t xml:space="preserve"> </w:t>
      </w:r>
      <w:r>
        <w:t xml:space="preserve">(low level) vs</w:t>
      </w:r>
      <w:r>
        <w:t xml:space="preserve"> </w:t>
      </w:r>
      <w:r>
        <w:rPr>
          <w:i/>
          <w:iCs/>
        </w:rPr>
        <w:t xml:space="preserve">functional deficiency</w:t>
      </w:r>
      <w:r>
        <w:t xml:space="preserve"> </w:t>
      </w:r>
      <w:r>
        <w:t xml:space="preserve">of the same substance</w:t>
      </w:r>
      <w:hyperlink r:id="rId50">
        <w:r>
          <w:rPr>
            <w:rStyle w:val="Hyperlink"/>
          </w:rPr>
          <w:t xml:space="preserve">[27]</w:t>
        </w:r>
      </w:hyperlink>
      <w:r>
        <w:t xml:space="preserve">. This suggests ontologists recognize the need, but it’s handled by modeling each disorder’s cause. SNOMED CT might use attributes like “Due to functional enzyme deficiency” or simply have separate terms (e.g.,</w:t>
      </w:r>
      <w:r>
        <w:t xml:space="preserve"> </w:t>
      </w:r>
      <w:r>
        <w:rPr>
          <w:i/>
          <w:iCs/>
        </w:rPr>
        <w:t xml:space="preserve">vitamin D deficiency</w:t>
      </w:r>
      <w:r>
        <w:t xml:space="preserve"> </w:t>
      </w:r>
      <w:r>
        <w:t xml:space="preserve">vs</w:t>
      </w:r>
      <w:r>
        <w:t xml:space="preserve"> </w:t>
      </w:r>
      <w:r>
        <w:rPr>
          <w:i/>
          <w:iCs/>
        </w:rPr>
        <w:t xml:space="preserve">vitamin D resistance</w:t>
      </w:r>
      <w:r>
        <w:t xml:space="preserve">).</w:t>
      </w:r>
    </w:p>
    <w:p>
      <w:pPr>
        <w:numPr>
          <w:ilvl w:val="0"/>
          <w:numId w:val="1007"/>
        </w:numPr>
      </w:pPr>
      <w:r>
        <w:rPr>
          <w:b/>
          <w:bCs/>
        </w:rPr>
        <w:t xml:space="preserve">Malnutrition Ontology:</w:t>
      </w:r>
      <w:r>
        <w:t xml:space="preserve"> </w:t>
      </w:r>
      <w:r>
        <w:t xml:space="preserve">As noted, WHO and dietetic organizations include “Impaired nutrient utilization” as a classification of malnutrition</w:t>
      </w:r>
      <w:hyperlink r:id="rId27">
        <w:r>
          <w:rPr>
            <w:rStyle w:val="Hyperlink"/>
          </w:rPr>
          <w:t xml:space="preserve">[7]</w:t>
        </w:r>
      </w:hyperlink>
      <w:r>
        <w:t xml:space="preserve">. The American Dietetic Association’s nutrition diagnosis schema (e.g., in dietitian documentation) has a code for “NC-2.1 Impaired nutrient utilization” which can be used for patients who cannot metabolize nutrients properly (such as in inborn errors or severe illness)</w:t>
      </w:r>
      <w:hyperlink r:id="rId51">
        <w:r>
          <w:rPr>
            <w:rStyle w:val="Hyperlink"/>
          </w:rPr>
          <w:t xml:space="preserve">[28]</w:t>
        </w:r>
      </w:hyperlink>
      <w:r>
        <w:t xml:space="preserve">. This is a broad bucket but does conceptually group these scenarios. It is, however, mostly used in nutritional contexts (like hospital malnutrition coding) and not a specific clinical diagnosis a doctor would give; rather, it’s a state description.</w:t>
      </w:r>
    </w:p>
    <w:p>
      <w:pPr>
        <w:numPr>
          <w:ilvl w:val="0"/>
          <w:numId w:val="1007"/>
        </w:numPr>
      </w:pPr>
      <w:r>
        <w:rPr>
          <w:b/>
          <w:bCs/>
        </w:rPr>
        <w:t xml:space="preserve">No Single Term in Common Parlance:</w:t>
      </w:r>
      <w:r>
        <w:t xml:space="preserve"> </w:t>
      </w:r>
      <w:r>
        <w:t xml:space="preserve">Clinicians typically just describe what’s happening in plain language (“functional B12 deficiency” or “tissue level hypothyroidism” or “vitamin D resistance”). The term “Functional deficiency” itself is understood by context (and is indeed used in literature</w:t>
      </w:r>
      <w:hyperlink r:id="rId21">
        <w:r>
          <w:rPr>
            <w:rStyle w:val="Hyperlink"/>
          </w:rPr>
          <w:t xml:space="preserve">[1]</w:t>
        </w:r>
      </w:hyperlink>
      <w:r>
        <w:t xml:space="preserve">), but if one searched ICD-10, there’s no code that literally says “Functional nutrient deficiency NOS.” Instead, one would code the specific vitamin deficiency or specific syndrome and then perhaps note in documentation that it’s due to a functional issue. For instance, a patient with normal B₁₂ but high MMA who has neuropathy might still be coded as “vitamin B₁₂ deficiency anemia” because that code exists, even though the lab was normal. The nuance would be in the chart narrative.</w:t>
      </w:r>
    </w:p>
    <w:p>
      <w:pPr>
        <w:numPr>
          <w:ilvl w:val="0"/>
          <w:numId w:val="1007"/>
        </w:numPr>
      </w:pPr>
      <w:r>
        <w:rPr>
          <w:b/>
          <w:bCs/>
        </w:rPr>
        <w:t xml:space="preserve">Diagnostic Decision Support Systems:</w:t>
      </w:r>
      <w:r>
        <w:t xml:space="preserve"> </w:t>
      </w:r>
      <w:r>
        <w:t xml:space="preserve">To our knowledge, existing CDS systems do not have a dedicated “ontology node” for this scenario. They likely handle it via rules or linking the known syndromes. For example, DXplain might link “macrocytic anemia + neuropathy + normal B₁₂” to “transcobalamin II deficiency” or “cobalamin pseudodeficiency” if those terms are in its knowledge base. But if the input is just normal B₁₂, many systems may exclude B₁₂ deficiency unless prompted by the user or other labs. This is exactly the kind of gap our clinical reasoning system (Ethos-of-Health) must be careful to close – because a naive algorithm could easily dismiss a correct diagnosis due to a normal lab.</w:t>
      </w:r>
    </w:p>
    <w:p>
      <w:pPr>
        <w:numPr>
          <w:ilvl w:val="0"/>
          <w:numId w:val="1007"/>
        </w:numPr>
      </w:pPr>
      <w:r>
        <w:rPr>
          <w:b/>
          <w:bCs/>
        </w:rPr>
        <w:t xml:space="preserve">Clinical Guidelines &amp; Governance:</w:t>
      </w:r>
      <w:r>
        <w:t xml:space="preserve"> </w:t>
      </w:r>
      <w:r>
        <w:t xml:space="preserve">Guidelines in specialties do indirectly cover these. For example:</w:t>
      </w:r>
    </w:p>
    <w:p>
      <w:pPr>
        <w:pStyle w:val="Compact"/>
        <w:numPr>
          <w:ilvl w:val="0"/>
          <w:numId w:val="1007"/>
        </w:numPr>
      </w:pPr>
      <w:r>
        <w:t xml:space="preserve">Endocrine guidelines for thyroid hormone resistance exist (though rare, they outline how to confirm and not to mistake it for lab error or TSH-secreting tumor).</w:t>
      </w:r>
    </w:p>
    <w:p>
      <w:pPr>
        <w:pStyle w:val="Compact"/>
        <w:numPr>
          <w:ilvl w:val="0"/>
          <w:numId w:val="1007"/>
        </w:numPr>
      </w:pPr>
      <w:r>
        <w:t xml:space="preserve">Hematology guidelines on anemia of chronic disease explicitly define functional iron deficiency and advise management thresholds</w:t>
      </w:r>
      <w:hyperlink r:id="rId38">
        <w:r>
          <w:rPr>
            <w:rStyle w:val="Hyperlink"/>
          </w:rPr>
          <w:t xml:space="preserve">[17]</w:t>
        </w:r>
      </w:hyperlink>
      <w:r>
        <w:t xml:space="preserve">.</w:t>
      </w:r>
    </w:p>
    <w:p>
      <w:pPr>
        <w:pStyle w:val="Compact"/>
        <w:numPr>
          <w:ilvl w:val="0"/>
          <w:numId w:val="1007"/>
        </w:numPr>
      </w:pPr>
      <w:r>
        <w:t xml:space="preserve">Neurology literature on cerebral folate deficiency provides diagnostic criteria and emphasizes it should be considered even if serum folate is normal (especially in children with certain symptoms)</w:t>
      </w:r>
      <w:hyperlink r:id="rId31">
        <w:r>
          <w:rPr>
            <w:rStyle w:val="Hyperlink"/>
          </w:rPr>
          <w:t xml:space="preserve">[10]</w:t>
        </w:r>
      </w:hyperlink>
      <w:r>
        <w:t xml:space="preserve">.</w:t>
      </w:r>
    </w:p>
    <w:p>
      <w:pPr>
        <w:pStyle w:val="Compact"/>
        <w:numPr>
          <w:ilvl w:val="0"/>
          <w:numId w:val="1007"/>
        </w:numPr>
      </w:pPr>
      <w:r>
        <w:t xml:space="preserve">Lab best practices include reflex testing algorithms (as mentioned) – these are a form of institutional clinical governance ensuring that a potential blind spot (like missing a B₁₂ deficiency) is mitigated by additional testing.</w:t>
      </w:r>
    </w:p>
    <w:p>
      <w:pPr>
        <w:pStyle w:val="FirstParagraph"/>
      </w:pPr>
      <w:r>
        <w:t xml:space="preserve">In</w:t>
      </w:r>
      <w:r>
        <w:t xml:space="preserve"> </w:t>
      </w:r>
      <w:r>
        <w:rPr>
          <w:i/>
          <w:iCs/>
        </w:rPr>
        <w:t xml:space="preserve">clinical governance terms</w:t>
      </w:r>
      <w:r>
        <w:t xml:space="preserve">, this phenomenon represents a</w:t>
      </w:r>
      <w:r>
        <w:t xml:space="preserve"> </w:t>
      </w:r>
      <w:r>
        <w:rPr>
          <w:b/>
          <w:bCs/>
        </w:rPr>
        <w:t xml:space="preserve">diagnostic blind spot</w:t>
      </w:r>
      <w:r>
        <w:t xml:space="preserve"> </w:t>
      </w:r>
      <w:r>
        <w:t xml:space="preserve">– a place where standard protocols (which often assume “normal lab = ruled out”) might fail the patient. High-reliability organizations try to account for such blind spots via checks and balances (reflex tests, specialist consultation triggers, etc.).</w:t>
      </w:r>
    </w:p>
    <w:p>
      <w:pPr>
        <w:pStyle w:val="BodyText"/>
      </w:pPr>
      <w:r>
        <w:t xml:space="preserve">Notably,</w:t>
      </w:r>
      <w:r>
        <w:t xml:space="preserve"> </w:t>
      </w:r>
      <w:r>
        <w:rPr>
          <w:b/>
          <w:bCs/>
        </w:rPr>
        <w:t xml:space="preserve">V5.2/V6 Ethos-of-Health system</w:t>
      </w:r>
      <w:r>
        <w:t xml:space="preserve"> </w:t>
      </w:r>
      <w:r>
        <w:t xml:space="preserve">doesn’t yet have an explicit module for this, but some elements of the system hint at related logic:</w:t>
      </w:r>
      <w:r>
        <w:t xml:space="preserve"> </w:t>
      </w:r>
      <w:r>
        <w:t xml:space="preserve">-</w:t>
      </w:r>
      <w:r>
        <w:t xml:space="preserve"> </w:t>
      </w:r>
      <w:r>
        <w:rPr>
          <w:i/>
          <w:iCs/>
        </w:rPr>
        <w:t xml:space="preserve">Suppression logic:</w:t>
      </w:r>
      <w:r>
        <w:t xml:space="preserve"> </w:t>
      </w:r>
      <w:r>
        <w:t xml:space="preserve">In V5.2, certain “false exits” or misleading improvements trigger a suppression (pause) of conclusions – e.g., “Lab Error” is one of the patterns that can pause a state transition</w:t>
      </w:r>
      <w:hyperlink r:id="rId52">
        <w:r>
          <w:rPr>
            <w:rStyle w:val="Hyperlink"/>
          </w:rPr>
          <w:t xml:space="preserve">[29]</w:t>
        </w:r>
      </w:hyperlink>
      <w:hyperlink r:id="rId53">
        <w:r>
          <w:rPr>
            <w:rStyle w:val="Hyperlink"/>
          </w:rPr>
          <w:t xml:space="preserve">[30]</w:t>
        </w:r>
      </w:hyperlink>
      <w:r>
        <w:t xml:space="preserve">. If a lab result is suspected to be erroneous or unrepresentative, the system holds off on accepting it blindly. A normal biomarker in the face of strong contradictory evidence could be seen as a potential “Lab Error” or at least as a reason not to completely trust the lab. However, currently “Lab Error” suppression is likely geared towards outlier high/low values that conflict with trends, rather than a normal value that conflicts with clinical picture. The concept could be expanded to cover</w:t>
      </w:r>
      <w:r>
        <w:t xml:space="preserve"> </w:t>
      </w:r>
      <w:r>
        <w:rPr>
          <w:i/>
          <w:iCs/>
        </w:rPr>
        <w:t xml:space="preserve">functional errors</w:t>
      </w:r>
      <w:r>
        <w:t xml:space="preserve"> </w:t>
      </w:r>
      <w:r>
        <w:t xml:space="preserve">(i.e., “the lab says normal, but effectively it’s an error in context”).</w:t>
      </w:r>
    </w:p>
    <w:p>
      <w:pPr>
        <w:numPr>
          <w:ilvl w:val="0"/>
          <w:numId w:val="1008"/>
        </w:numPr>
      </w:pPr>
      <w:r>
        <w:rPr>
          <w:i/>
          <w:iCs/>
        </w:rPr>
        <w:t xml:space="preserve">Refusal logic:</w:t>
      </w:r>
      <w:r>
        <w:t xml:space="preserve"> </w:t>
      </w:r>
      <w:r>
        <w:t xml:space="preserve">V6 governance introduces a concept of</w:t>
      </w:r>
      <w:r>
        <w:t xml:space="preserve"> </w:t>
      </w:r>
      <w:r>
        <w:rPr>
          <w:b/>
          <w:bCs/>
        </w:rPr>
        <w:t xml:space="preserve">“refusal”</w:t>
      </w:r>
      <w:r>
        <w:t xml:space="preserve"> </w:t>
      </w:r>
      <w:r>
        <w:t xml:space="preserve">– where the system refuses to accept or act on certain inputs if they violate safety or coherence rules</w:t>
      </w:r>
      <w:hyperlink r:id="rId54">
        <w:r>
          <w:rPr>
            <w:rStyle w:val="Hyperlink"/>
          </w:rPr>
          <w:t xml:space="preserve">[31]</w:t>
        </w:r>
      </w:hyperlink>
      <w:hyperlink r:id="rId55">
        <w:r>
          <w:rPr>
            <w:rStyle w:val="Hyperlink"/>
          </w:rPr>
          <w:t xml:space="preserve">[32]</w:t>
        </w:r>
      </w:hyperlink>
      <w:r>
        <w:t xml:space="preserve">. In our context, imagine an external module or user suggests “vitamin D deficiency” but the lab data says vitamin D is normal; the system might currently</w:t>
      </w:r>
      <w:r>
        <w:t xml:space="preserve"> </w:t>
      </w:r>
      <w:r>
        <w:rPr>
          <w:b/>
          <w:bCs/>
        </w:rPr>
        <w:t xml:space="preserve">refuse</w:t>
      </w:r>
      <w:r>
        <w:t xml:space="preserve"> </w:t>
      </w:r>
      <w:r>
        <w:t xml:space="preserve">that diagnosis because it doesn’t meet criteria. Alternatively, the system might refuse to conclude “patient is fine” if there are persistent cues of deficiency. How refusal is applied will depend on how the logic is written. At present, EoH likely has refusal patterns for things like content that violates constraints (e.g., recommending a dangerous therapy). For diagnoses, refusal might manifest as the system declining to add a diagnosis that doesn’t fit evidence. A</w:t>
      </w:r>
      <w:r>
        <w:t xml:space="preserve"> </w:t>
      </w:r>
      <w:r>
        <w:rPr>
          <w:i/>
          <w:iCs/>
        </w:rPr>
        <w:t xml:space="preserve">functional deficiency state is exactly the kind of scenario where strict rules (“normal lab = no deficiency”) would cause a refusal of the</w:t>
      </w:r>
      <w:r>
        <w:t xml:space="preserve"> </w:t>
      </w:r>
      <w:r>
        <w:t xml:space="preserve">correct</w:t>
      </w:r>
      <w:r>
        <w:t xml:space="preserve"> </w:t>
      </w:r>
      <w:r>
        <w:rPr>
          <w:i/>
          <w:iCs/>
        </w:rPr>
        <w:t xml:space="preserve">hypothesis.</w:t>
      </w:r>
      <w:r>
        <w:t xml:space="preserve"> </w:t>
      </w:r>
      <w:r>
        <w:t xml:space="preserve">We need to adjust the logic so that either the hypothesis is not refused outright, or the evidentiary criteria are broadened.</w:t>
      </w:r>
    </w:p>
    <w:p>
      <w:pPr>
        <w:numPr>
          <w:ilvl w:val="0"/>
          <w:numId w:val="1008"/>
        </w:numPr>
      </w:pPr>
      <w:r>
        <w:rPr>
          <w:i/>
          <w:iCs/>
        </w:rPr>
        <w:t xml:space="preserve">Terrain uncertainty:</w:t>
      </w:r>
      <w:r>
        <w:t xml:space="preserve"> </w:t>
      </w:r>
      <w:r>
        <w:t xml:space="preserve">The Ethos-of-Health uses a “patient terrain” model to track stability and known conditions. A case of normal labs but unexplained deficiency signs would likely result in</w:t>
      </w:r>
      <w:r>
        <w:t xml:space="preserve"> </w:t>
      </w:r>
      <w:r>
        <w:rPr>
          <w:b/>
          <w:bCs/>
        </w:rPr>
        <w:t xml:space="preserve">terrain uncertainty</w:t>
      </w:r>
      <w:r>
        <w:t xml:space="preserve"> </w:t>
      </w:r>
      <w:r>
        <w:t xml:space="preserve">– the patient remains in an unstable band (e.g., symptoms ongoing) without a confirmed diagnosis to explain it. The system might mark this as an unresolved issue or keep the patient in a higher instability band because something is off despite “all tests normal.” In V5.2, unresolved issues and diagnostic ambiguity contribute to instability. So the phenomenon might already be indirectly reflected as patients who don’t neatly fit expected patterns, triggering maybe a “diagnostic quest” mode.</w:t>
      </w:r>
    </w:p>
    <w:p>
      <w:pPr>
        <w:pStyle w:val="FirstParagraph"/>
      </w:pPr>
      <w:r>
        <w:t xml:space="preserve">In current V5.2 logic, we do not have a dedicated module that says “if lab is normal but suspicion is high, do X.” It relies on either human override (the clinician noticing and pushing further testing) or on partial measures like not auto-closing the case due to continuing symptoms (instability). This</w:t>
      </w:r>
      <w:r>
        <w:t xml:space="preserve"> </w:t>
      </w:r>
      <w:r>
        <w:rPr>
          <w:b/>
          <w:bCs/>
        </w:rPr>
        <w:t xml:space="preserve">gap</w:t>
      </w:r>
      <w:r>
        <w:t xml:space="preserve"> </w:t>
      </w:r>
      <w:r>
        <w:t xml:space="preserve">is precisely why a formalized approach in V6 could be valuable: to systematically catch these mismatches.</w:t>
      </w:r>
    </w:p>
    <w:bookmarkEnd w:id="56"/>
    <w:bookmarkStart w:id="61" w:name="X868edd3579101f5225dbd68163b9a5fcedda3ce"/>
    <w:p>
      <w:pPr>
        <w:pStyle w:val="Heading2"/>
      </w:pPr>
      <w:r>
        <w:rPr>
          <w:b/>
          <w:bCs/>
        </w:rPr>
        <w:t xml:space="preserve">Need for a New Classification or Logic Module (M64) in V6</w:t>
      </w:r>
    </w:p>
    <w:p>
      <w:pPr>
        <w:pStyle w:val="FirstParagraph"/>
      </w:pPr>
      <w:r>
        <w:t xml:space="preserve">Given the above, it appears</w:t>
      </w:r>
      <w:r>
        <w:t xml:space="preserve"> </w:t>
      </w:r>
      <w:r>
        <w:rPr>
          <w:b/>
          <w:bCs/>
        </w:rPr>
        <w:t xml:space="preserve">prudent to introduce a canonical classification and reasoning pathway for “Serum-Normal Functional Deficiency” states</w:t>
      </w:r>
      <w:r>
        <w:t xml:space="preserve"> </w:t>
      </w:r>
      <w:r>
        <w:t xml:space="preserve">rather than leaving it to chance. This could be done by defining a new umbrella concept and a dedicated module to handle detection and management. The alternative (purely embedding logic in existing modules) risks the knowledge being scattered and not easily auditable or updatable.</w:t>
      </w:r>
    </w:p>
    <w:bookmarkStart w:id="57" w:name="Xdd906e32126f61199569624eb9119c769e411f8"/>
    <w:p>
      <w:pPr>
        <w:pStyle w:val="Heading3"/>
      </w:pPr>
      <w:r>
        <w:rPr>
          <w:b/>
          <w:bCs/>
        </w:rPr>
        <w:t xml:space="preserve">Recommendation: Introduce Module M64 – Functional Utilization Deficit Detection and Handling</w:t>
      </w:r>
    </w:p>
    <w:p>
      <w:pPr>
        <w:pStyle w:val="FirstParagraph"/>
      </w:pPr>
      <w:r>
        <w:t xml:space="preserve">We propose a new module in the V6 architecture with the following outline:</w:t>
      </w:r>
    </w:p>
    <w:p>
      <w:pPr>
        <w:numPr>
          <w:ilvl w:val="0"/>
          <w:numId w:val="1009"/>
        </w:numPr>
      </w:pPr>
      <w:r>
        <w:rPr>
          <w:b/>
          <w:bCs/>
        </w:rPr>
        <w:t xml:space="preserve">Module Name (Working):</w:t>
      </w:r>
      <w:r>
        <w:t xml:space="preserve"> </w:t>
      </w:r>
      <w:r>
        <w:rPr>
          <w:i/>
          <w:iCs/>
        </w:rPr>
        <w:t xml:space="preserve">M64 – Functional Deficiency and Utilization Anomalies</w:t>
      </w:r>
      <w:r>
        <w:t xml:space="preserve"> </w:t>
      </w:r>
      <w:r>
        <w:t xml:space="preserve">(the name can be refined). It could also be styled as “Serum-Tissue Mismatch Resolver” or similar, but for clarity,</w:t>
      </w:r>
      <w:r>
        <w:t xml:space="preserve"> </w:t>
      </w:r>
      <w:r>
        <w:rPr>
          <w:i/>
          <w:iCs/>
        </w:rPr>
        <w:t xml:space="preserve">Functional Deficiency</w:t>
      </w:r>
      <w:r>
        <w:t xml:space="preserve"> </w:t>
      </w:r>
      <w:r>
        <w:t xml:space="preserve">is succinct.</w:t>
      </w:r>
    </w:p>
    <w:p>
      <w:pPr>
        <w:numPr>
          <w:ilvl w:val="0"/>
          <w:numId w:val="1009"/>
        </w:numPr>
      </w:pPr>
      <w:r>
        <w:rPr>
          <w:b/>
          <w:bCs/>
        </w:rPr>
        <w:t xml:space="preserve">Purpose:</w:t>
      </w:r>
      <w:r>
        <w:t xml:space="preserve"> </w:t>
      </w:r>
      <w:r>
        <w:t xml:space="preserve">To</w:t>
      </w:r>
      <w:r>
        <w:t xml:space="preserve"> </w:t>
      </w:r>
      <w:r>
        <w:rPr>
          <w:i/>
          <w:iCs/>
        </w:rPr>
        <w:t xml:space="preserve">detect, classify, and route cases where a patient’s lab values are within normal range but clinical evidence and/or specialized tests indicate a deficiency or lack of effective utilization</w:t>
      </w:r>
      <w:r>
        <w:t xml:space="preserve">. This module acts as a safety net for potential diagnostic blind spots, ensuring they are explicitly recognized in the system. It introduces a formal</w:t>
      </w:r>
      <w:r>
        <w:t xml:space="preserve"> </w:t>
      </w:r>
      <w:r>
        <w:rPr>
          <w:b/>
          <w:bCs/>
        </w:rPr>
        <w:t xml:space="preserve">ontology node for “functional deficiency states”</w:t>
      </w:r>
      <w:r>
        <w:t xml:space="preserve"> </w:t>
      </w:r>
      <w:r>
        <w:t xml:space="preserve">that can be attached to specific nutrients or hormones, and logic to manage them.</w:t>
      </w:r>
    </w:p>
    <w:p>
      <w:pPr>
        <w:numPr>
          <w:ilvl w:val="0"/>
          <w:numId w:val="1009"/>
        </w:numPr>
      </w:pPr>
      <w:r>
        <w:rPr>
          <w:b/>
          <w:bCs/>
        </w:rPr>
        <w:t xml:space="preserve">Scope (In Scope):</w:t>
      </w:r>
    </w:p>
    <w:p>
      <w:pPr>
        <w:pStyle w:val="Compact"/>
        <w:numPr>
          <w:ilvl w:val="0"/>
          <w:numId w:val="1009"/>
        </w:numPr>
      </w:pPr>
      <w:r>
        <w:t xml:space="preserve">Define a generalizable concept of</w:t>
      </w:r>
      <w:r>
        <w:t xml:space="preserve"> </w:t>
      </w:r>
      <w:r>
        <w:rPr>
          <w:i/>
          <w:iCs/>
        </w:rPr>
        <w:t xml:space="preserve">“blood-normal but functionally deficient”</w:t>
      </w:r>
      <w:r>
        <w:t xml:space="preserve"> </w:t>
      </w:r>
      <w:r>
        <w:t xml:space="preserve">that can be instantiated for various substances (vitamins, minerals, hormones, etc.). This includes establishing criteria for what constitutes this state (e.g., presence of specific symptoms or secondary lab markers in the face of normal primary lab value).</w:t>
      </w:r>
    </w:p>
    <w:p>
      <w:pPr>
        <w:pStyle w:val="Compact"/>
        <w:numPr>
          <w:ilvl w:val="0"/>
          <w:numId w:val="1009"/>
        </w:numPr>
      </w:pPr>
      <w:r>
        <w:t xml:space="preserve">House the knowledge of known examples (the module’s internal library might list known conditions like those discussed – essentially a mini-ontology of causes).</w:t>
      </w:r>
    </w:p>
    <w:p>
      <w:pPr>
        <w:pStyle w:val="Compact"/>
        <w:numPr>
          <w:ilvl w:val="0"/>
          <w:numId w:val="1009"/>
        </w:numPr>
      </w:pPr>
      <w:r>
        <w:rPr>
          <w:b/>
          <w:bCs/>
        </w:rPr>
        <w:t xml:space="preserve">Detection logic:</w:t>
      </w:r>
      <w:r>
        <w:t xml:space="preserve"> </w:t>
      </w:r>
      <w:r>
        <w:t xml:space="preserve">Monitor the patient’s data for patterns such as: clinical signs of deficiency X plus normal lab X plus either (a) positive secondary test or (b) strong risk factors. When such a pattern is found, flag a</w:t>
      </w:r>
      <w:r>
        <w:t xml:space="preserve"> </w:t>
      </w:r>
      <w:r>
        <w:rPr>
          <w:i/>
          <w:iCs/>
        </w:rPr>
        <w:t xml:space="preserve">Functional Deficit Suspected (FDS)</w:t>
      </w:r>
      <w:r>
        <w:t xml:space="preserve"> </w:t>
      </w:r>
      <w:r>
        <w:t xml:space="preserve">state for that substance.</w:t>
      </w:r>
    </w:p>
    <w:p>
      <w:pPr>
        <w:pStyle w:val="Compact"/>
        <w:numPr>
          <w:ilvl w:val="0"/>
          <w:numId w:val="1009"/>
        </w:numPr>
      </w:pPr>
      <w:r>
        <w:rPr>
          <w:b/>
          <w:bCs/>
        </w:rPr>
        <w:t xml:space="preserve">Classification:</w:t>
      </w:r>
      <w:r>
        <w:t xml:space="preserve"> </w:t>
      </w:r>
      <w:r>
        <w:t xml:space="preserve">If secondary confirmation is available (like an MMA test result, or genetic test result), the module can confirm a</w:t>
      </w:r>
      <w:r>
        <w:t xml:space="preserve"> </w:t>
      </w:r>
      <w:r>
        <w:rPr>
          <w:i/>
          <w:iCs/>
        </w:rPr>
        <w:t xml:space="preserve">Functional Deficit diagnosis</w:t>
      </w:r>
      <w:r>
        <w:t xml:space="preserve"> </w:t>
      </w:r>
      <w:r>
        <w:t xml:space="preserve">(for example, “Functional vitamin B₁₂ deficiency” as a condition in the problem list, which could be linked under the hood to B₁₂ deficiency taxonomy but annotated as functional type). If not confirmed, it can still hold a</w:t>
      </w:r>
      <w:r>
        <w:t xml:space="preserve"> </w:t>
      </w:r>
      <w:r>
        <w:rPr>
          <w:i/>
          <w:iCs/>
        </w:rPr>
        <w:t xml:space="preserve">“suspected functional deficiency”</w:t>
      </w:r>
      <w:r>
        <w:t xml:space="preserve"> </w:t>
      </w:r>
      <w:r>
        <w:t xml:space="preserve">status that prevents premature closure of the diagnostic process.</w:t>
      </w:r>
    </w:p>
    <w:p>
      <w:pPr>
        <w:pStyle w:val="Compact"/>
        <w:numPr>
          <w:ilvl w:val="0"/>
          <w:numId w:val="1009"/>
        </w:numPr>
      </w:pPr>
      <w:r>
        <w:rPr>
          <w:b/>
          <w:bCs/>
        </w:rPr>
        <w:t xml:space="preserve">Routing:</w:t>
      </w:r>
      <w:r>
        <w:t xml:space="preserve"> </w:t>
      </w:r>
      <w:r>
        <w:t xml:space="preserve">Once flagged, route the case to appropriate next steps – e.g., suggest ordering confirmatory tests (MMA, etc.), or refer to a specialist, or initiate a therapeutic trial. The module essentially would inform the</w:t>
      </w:r>
      <w:r>
        <w:t xml:space="preserve"> </w:t>
      </w:r>
      <w:r>
        <w:rPr>
          <w:b/>
          <w:bCs/>
        </w:rPr>
        <w:t xml:space="preserve">Update/Scheduler (M54)</w:t>
      </w:r>
      <w:r>
        <w:t xml:space="preserve"> </w:t>
      </w:r>
      <w:r>
        <w:t xml:space="preserve">that additional investigation is warranted and should be prioritized, rather than concluding “no issue”.</w:t>
      </w:r>
    </w:p>
    <w:p>
      <w:pPr>
        <w:pStyle w:val="Compact"/>
        <w:numPr>
          <w:ilvl w:val="0"/>
          <w:numId w:val="1009"/>
        </w:numPr>
      </w:pPr>
      <w:r>
        <w:rPr>
          <w:b/>
          <w:bCs/>
        </w:rPr>
        <w:t xml:space="preserve">Audit and Safety:</w:t>
      </w:r>
      <w:r>
        <w:t xml:space="preserve"> </w:t>
      </w:r>
      <w:r>
        <w:t xml:space="preserve">Log these occurrences as diagnostic near-misses or blind spots caught. This creates an audit trail for clinical governance – useful for quality improvement (how often did normal labs belie a real problem?) and for refining the module’s rules over time.</w:t>
      </w:r>
    </w:p>
    <w:p>
      <w:pPr>
        <w:numPr>
          <w:ilvl w:val="0"/>
          <w:numId w:val="1009"/>
        </w:numPr>
      </w:pPr>
      <w:r>
        <w:rPr>
          <w:b/>
          <w:bCs/>
        </w:rPr>
        <w:t xml:space="preserve">Integration:</w:t>
      </w:r>
      <w:r>
        <w:t xml:space="preserve"> </w:t>
      </w:r>
      <w:r>
        <w:t xml:space="preserve">Provide inputs to suppression/refusal systems so that a normal lab result doesn’t automatically suppress the consideration of a diagnosis if this module indicates a functional deficiency. Conversely, if an external tool tries to assert a deficiency diagnosis when labs are normal, this module can arbitrate by checking if functional deficiency criteria are met (preventing outright refusal if context supports it, or justifying refusal if truly unsupported).</w:t>
      </w:r>
    </w:p>
    <w:p>
      <w:pPr>
        <w:numPr>
          <w:ilvl w:val="0"/>
          <w:numId w:val="1009"/>
        </w:numPr>
      </w:pPr>
      <w:r>
        <w:rPr>
          <w:b/>
          <w:bCs/>
        </w:rPr>
        <w:t xml:space="preserve">Out of Scope:</w:t>
      </w:r>
    </w:p>
    <w:p>
      <w:pPr>
        <w:pStyle w:val="Compact"/>
        <w:numPr>
          <w:ilvl w:val="0"/>
          <w:numId w:val="1009"/>
        </w:numPr>
      </w:pPr>
      <w:r>
        <w:t xml:space="preserve">The module would</w:t>
      </w:r>
      <w:r>
        <w:t xml:space="preserve"> </w:t>
      </w:r>
      <w:r>
        <w:rPr>
          <w:i/>
          <w:iCs/>
        </w:rPr>
        <w:t xml:space="preserve">not</w:t>
      </w:r>
      <w:r>
        <w:t xml:space="preserve"> </w:t>
      </w:r>
      <w:r>
        <w:t xml:space="preserve">decide definitive treatment or delve into general disease management – once it identifies a likely functional deficiency, the actual management (supplementation, etc.) would be handled by the appropriate disease module (e.g., the anemia module, the endocrine module). M64’s job is primarily detection, categorization, and ensuring the patient is routed correctly (e.g., adding “B₁₂ deficiency” to the active problem list even if lab normal, with a note it’s functional).</w:t>
      </w:r>
    </w:p>
    <w:p>
      <w:pPr>
        <w:pStyle w:val="Compact"/>
        <w:numPr>
          <w:ilvl w:val="0"/>
          <w:numId w:val="1009"/>
        </w:numPr>
      </w:pPr>
      <w:r>
        <w:t xml:space="preserve">It also does not supersede core lab interpretation modules; it works alongside them. For example, the lab module might say “B₁₂ is normal,” and M64 will take that info and counter-check against symptoms/secondary markers.</w:t>
      </w:r>
    </w:p>
    <w:p>
      <w:pPr>
        <w:numPr>
          <w:ilvl w:val="0"/>
          <w:numId w:val="1009"/>
        </w:numPr>
      </w:pPr>
      <w:r>
        <w:t xml:space="preserve">It is not responsible for the “normal” deficiency states (where labs are low – those are handled by standard disease logic).</w:t>
      </w:r>
    </w:p>
    <w:p>
      <w:pPr>
        <w:numPr>
          <w:ilvl w:val="0"/>
          <w:numId w:val="1009"/>
        </w:numPr>
      </w:pPr>
      <w:r>
        <w:rPr>
          <w:b/>
          <w:bCs/>
        </w:rPr>
        <w:t xml:space="preserve">Logic/Process (Deterministic &amp; Explainable):</w:t>
      </w:r>
    </w:p>
    <w:p>
      <w:pPr>
        <w:pStyle w:val="Compact"/>
        <w:numPr>
          <w:ilvl w:val="0"/>
          <w:numId w:val="1009"/>
        </w:numPr>
      </w:pPr>
      <w:r>
        <w:rPr>
          <w:b/>
          <w:bCs/>
        </w:rPr>
        <w:t xml:space="preserve">Pattern Recognition:</w:t>
      </w:r>
      <w:r>
        <w:t xml:space="preserve"> </w:t>
      </w:r>
      <w:r>
        <w:t xml:space="preserve">The module continuously (or at decision junctures) scans for mismatches: for each nutrient/hormone that has a known deficiency syndrome, check:</w:t>
      </w:r>
      <w:r>
        <w:t xml:space="preserve"> </w:t>
      </w:r>
      <w:r>
        <w:rPr>
          <w:i/>
          <w:iCs/>
        </w:rPr>
        <w:t xml:space="preserve">Is the lab value normal? Are there clinical signs or other lab flags of deficiency?</w:t>
      </w:r>
      <w:r>
        <w:t xml:space="preserve"> </w:t>
      </w:r>
      <w:r>
        <w:t xml:space="preserve">For instance, if</w:t>
      </w:r>
      <w:r>
        <w:t xml:space="preserve"> </w:t>
      </w:r>
      <w:r>
        <w:rPr>
          <w:rStyle w:val="VerbatimChar"/>
        </w:rPr>
        <w:t xml:space="preserve">B12_level &gt;= lower_ref</w:t>
      </w:r>
      <w:r>
        <w:t xml:space="preserve"> </w:t>
      </w:r>
      <w:r>
        <w:t xml:space="preserve">AND (</w:t>
      </w:r>
      <w:r>
        <w:rPr>
          <w:rStyle w:val="VerbatimChar"/>
        </w:rPr>
        <w:t xml:space="preserve">MMA</w:t>
      </w:r>
      <w:r>
        <w:t xml:space="preserve"> </w:t>
      </w:r>
      <w:r>
        <w:t xml:space="preserve">is high OR neurologic_signs present), then trigger suspicion. Each nutrient would have a small rule set. Some examples:</w:t>
      </w:r>
    </w:p>
    <w:p>
      <w:pPr>
        <w:pStyle w:val="Compact"/>
        <w:numPr>
          <w:ilvl w:val="1"/>
          <w:numId w:val="1010"/>
        </w:numPr>
      </w:pPr>
      <w:r>
        <w:t xml:space="preserve">Vitamin B₁₂: If B₁₂ normal but MCV high and neuro symptoms or MMA elevated, flag possible functional B₁₂ deficit.</w:t>
      </w:r>
    </w:p>
    <w:p>
      <w:pPr>
        <w:pStyle w:val="Compact"/>
        <w:numPr>
          <w:ilvl w:val="1"/>
          <w:numId w:val="1010"/>
        </w:numPr>
      </w:pPr>
      <w:r>
        <w:t xml:space="preserve">Iron: If ferritin normal/high but hemoglobin low and CRP high (inflammation) or TSAT low, flag functional iron deficiency.</w:t>
      </w:r>
    </w:p>
    <w:p>
      <w:pPr>
        <w:pStyle w:val="Compact"/>
        <w:numPr>
          <w:ilvl w:val="1"/>
          <w:numId w:val="1010"/>
        </w:numPr>
      </w:pPr>
      <w:r>
        <w:t xml:space="preserve">Vitamin D: If 25-OH-D normal but calcium or PTH abnormal and bone issues, flag possible vitamin D utilization issue (consider checking 1,25-D or VDR).</w:t>
      </w:r>
    </w:p>
    <w:p>
      <w:pPr>
        <w:pStyle w:val="Compact"/>
        <w:numPr>
          <w:ilvl w:val="1"/>
          <w:numId w:val="1010"/>
        </w:numPr>
      </w:pPr>
      <w:r>
        <w:t xml:space="preserve">Folate: If folate normal but homocysteine high or low CSF folate (if available) or neurodevelopmental regression, flag.</w:t>
      </w:r>
    </w:p>
    <w:p>
      <w:pPr>
        <w:pStyle w:val="Compact"/>
        <w:numPr>
          <w:ilvl w:val="1"/>
          <w:numId w:val="1010"/>
        </w:numPr>
      </w:pPr>
      <w:r>
        <w:t xml:space="preserve">Thyroid: If free T4 high-normal and TSH not suppressed, flag possible RTH (after excluding lab interference and TSHoma).</w:t>
      </w:r>
      <w:r>
        <w:br/>
      </w:r>
      <w:r>
        <w:t xml:space="preserve">(These rules can be codified from clinical guidelines and the literature reviewed above).</w:t>
      </w:r>
    </w:p>
    <w:p>
      <w:pPr>
        <w:pStyle w:val="Compact"/>
        <w:numPr>
          <w:ilvl w:val="0"/>
          <w:numId w:val="1009"/>
        </w:numPr>
      </w:pPr>
      <w:r>
        <w:rPr>
          <w:b/>
          <w:bCs/>
        </w:rPr>
        <w:t xml:space="preserve">Confidence and Severity Scoring:</w:t>
      </w:r>
      <w:r>
        <w:t xml:space="preserve"> </w:t>
      </w:r>
      <w:r>
        <w:t xml:space="preserve">The module could assign a confidence level to the suspicion (e.g., high if secondary marker is frankly positive, medium if based on clinical pattern alone). This can inform whether to directly recommend treatment vs further testing.</w:t>
      </w:r>
    </w:p>
    <w:p>
      <w:pPr>
        <w:pStyle w:val="Compact"/>
        <w:numPr>
          <w:ilvl w:val="0"/>
          <w:numId w:val="1009"/>
        </w:numPr>
      </w:pPr>
      <w:r>
        <w:rPr>
          <w:b/>
          <w:bCs/>
        </w:rPr>
        <w:t xml:space="preserve">Invoke Specialized Tests:</w:t>
      </w:r>
      <w:r>
        <w:t xml:space="preserve"> </w:t>
      </w:r>
      <w:r>
        <w:t xml:space="preserve">If not already done, the module would surface suggestions: e.g., “Consider ordering methylmalonic acid and homocysteine to evaluate B₁₂ tissue status” or “Consider checking CSF folate” or genetic tests as appropriate. In an automated system, it might even automatically request these if in its scope (though likely it will suggest to the clinician or to another module in charge of ordering).</w:t>
      </w:r>
    </w:p>
    <w:p>
      <w:pPr>
        <w:pStyle w:val="Compact"/>
        <w:numPr>
          <w:ilvl w:val="0"/>
          <w:numId w:val="1009"/>
        </w:numPr>
      </w:pPr>
      <w:r>
        <w:rPr>
          <w:b/>
          <w:bCs/>
        </w:rPr>
        <w:t xml:space="preserve">Inter-module Communication:</w:t>
      </w:r>
      <w:r>
        <w:t xml:space="preserve"> </w:t>
      </w:r>
      <w:r>
        <w:t xml:space="preserve">Communicate with:</w:t>
      </w:r>
    </w:p>
    <w:p>
      <w:pPr>
        <w:pStyle w:val="Compact"/>
        <w:numPr>
          <w:ilvl w:val="1"/>
          <w:numId w:val="1011"/>
        </w:numPr>
      </w:pPr>
      <w:r>
        <w:rPr>
          <w:b/>
          <w:bCs/>
        </w:rPr>
        <w:t xml:space="preserve">Suppression Engine:</w:t>
      </w:r>
      <w:r>
        <w:t xml:space="preserve"> </w:t>
      </w:r>
      <w:r>
        <w:rPr>
          <w:i/>
          <w:iCs/>
        </w:rPr>
        <w:t xml:space="preserve">Prevent false reassurance.</w:t>
      </w:r>
      <w:r>
        <w:t xml:space="preserve"> </w:t>
      </w:r>
      <w:r>
        <w:t xml:space="preserve">For example, normally a normal lab might suppress any alert about deficiency. Here, M64 would signal “do not suppress – anomaly detected.”</w:t>
      </w:r>
    </w:p>
    <w:p>
      <w:pPr>
        <w:pStyle w:val="Compact"/>
        <w:numPr>
          <w:ilvl w:val="1"/>
          <w:numId w:val="1011"/>
        </w:numPr>
      </w:pPr>
      <w:r>
        <w:rPr>
          <w:b/>
          <w:bCs/>
        </w:rPr>
        <w:t xml:space="preserve">Refusal/Validation Engine:</w:t>
      </w:r>
      <w:r>
        <w:t xml:space="preserve"> </w:t>
      </w:r>
      <w:r>
        <w:t xml:space="preserve">If a user or external AI suggests a deficiency diagnosis that labs don’t support, M64 can act as the mediator. If its criteria are met, it will</w:t>
      </w:r>
      <w:r>
        <w:t xml:space="preserve"> </w:t>
      </w:r>
      <w:r>
        <w:rPr>
          <w:i/>
          <w:iCs/>
        </w:rPr>
        <w:t xml:space="preserve">endorse the suggestion</w:t>
      </w:r>
      <w:r>
        <w:t xml:space="preserve"> </w:t>
      </w:r>
      <w:r>
        <w:t xml:space="preserve">(overriding a reflexive refusal). If criteria aren’t met, it provides a rationale if refusing (“Lab normal and no other evidence of functional deficiency, so likely false hypothesis”).</w:t>
      </w:r>
    </w:p>
    <w:p>
      <w:pPr>
        <w:pStyle w:val="Compact"/>
        <w:numPr>
          <w:ilvl w:val="1"/>
          <w:numId w:val="1011"/>
        </w:numPr>
      </w:pPr>
      <w:r>
        <w:rPr>
          <w:b/>
          <w:bCs/>
        </w:rPr>
        <w:t xml:space="preserve">Probabilistic Terrain (M53):</w:t>
      </w:r>
      <w:r>
        <w:t xml:space="preserve"> </w:t>
      </w:r>
      <w:r>
        <w:t xml:space="preserve">It could feed into the probabilistic model as an explanatory hypothesis, ensuring the differential diagnosis retains these possibilities with appropriate weighting.</w:t>
      </w:r>
    </w:p>
    <w:p>
      <w:pPr>
        <w:pStyle w:val="Compact"/>
        <w:numPr>
          <w:ilvl w:val="1"/>
          <w:numId w:val="1011"/>
        </w:numPr>
      </w:pPr>
      <w:r>
        <w:rPr>
          <w:b/>
          <w:bCs/>
        </w:rPr>
        <w:t xml:space="preserve">Audit Trail:</w:t>
      </w:r>
      <w:r>
        <w:t xml:space="preserve"> </w:t>
      </w:r>
      <w:r>
        <w:t xml:space="preserve">For each case, log “M64 activated: identified possible functional deficiency of X on [date]; outcome: confirmed or ruled out.” Over time, these logs help improve the system and can be used to demonstrate how the blind spot is being addressed (an important governance aspect).</w:t>
      </w:r>
    </w:p>
    <w:p>
      <w:pPr>
        <w:numPr>
          <w:ilvl w:val="0"/>
          <w:numId w:val="1009"/>
        </w:numPr>
      </w:pPr>
      <w:r>
        <w:rPr>
          <w:b/>
          <w:bCs/>
        </w:rPr>
        <w:t xml:space="preserve">Output:</w:t>
      </w:r>
      <w:r>
        <w:t xml:space="preserve"> </w:t>
      </w:r>
      <w:r>
        <w:t xml:space="preserve">If criteria for a functional deficiency are sufficiently met, the module can output a provisional diagnosis (e.g., “Functional iron deficiency contributing to anemia”) which then can be used by care planning modules to treat (e.g., recommend IV iron even if ferritin is normal, consistent with guidelines</w:t>
      </w:r>
      <w:hyperlink r:id="rId39">
        <w:r>
          <w:rPr>
            <w:rStyle w:val="Hyperlink"/>
          </w:rPr>
          <w:t xml:space="preserve">[19]</w:t>
        </w:r>
      </w:hyperlink>
      <w:r>
        <w:t xml:space="preserve">). If criteria are partially met, it outputs a flag or request for more data.</w:t>
      </w:r>
    </w:p>
    <w:p>
      <w:pPr>
        <w:numPr>
          <w:ilvl w:val="0"/>
          <w:numId w:val="1009"/>
        </w:numPr>
      </w:pPr>
      <w:r>
        <w:rPr>
          <w:b/>
          <w:bCs/>
        </w:rPr>
        <w:t xml:space="preserve">Governance &amp; Safety:</w:t>
      </w:r>
    </w:p>
    <w:p>
      <w:pPr>
        <w:pStyle w:val="Compact"/>
        <w:numPr>
          <w:ilvl w:val="0"/>
          <w:numId w:val="1009"/>
        </w:numPr>
      </w:pPr>
      <w:r>
        <w:t xml:space="preserve">Ensures that any</w:t>
      </w:r>
      <w:r>
        <w:t xml:space="preserve"> </w:t>
      </w:r>
      <w:r>
        <w:rPr>
          <w:b/>
          <w:bCs/>
        </w:rPr>
        <w:t xml:space="preserve">assertion of a functional deficiency is well-documented</w:t>
      </w:r>
      <w:r>
        <w:t xml:space="preserve"> </w:t>
      </w:r>
      <w:r>
        <w:t xml:space="preserve">(e.g., it will attach the evidence it used – “MMA high, homocysteine high with normal B₁₂, hence tissue B₁₂ deficiency suspected”). This maintains explainability for clinicians reviewing the AI’s reasoning.</w:t>
      </w:r>
    </w:p>
    <w:p>
      <w:pPr>
        <w:pStyle w:val="Compact"/>
        <w:numPr>
          <w:ilvl w:val="0"/>
          <w:numId w:val="1009"/>
        </w:numPr>
      </w:pPr>
      <w:r>
        <w:t xml:space="preserve">It should have a</w:t>
      </w:r>
      <w:r>
        <w:t xml:space="preserve"> </w:t>
      </w:r>
      <w:r>
        <w:rPr>
          <w:b/>
          <w:bCs/>
        </w:rPr>
        <w:t xml:space="preserve">failsafe</w:t>
      </w:r>
      <w:r>
        <w:t xml:space="preserve"> </w:t>
      </w:r>
      <w:r>
        <w:t xml:space="preserve">to avoid overdiagnosis. For instance, it should double-check that the lab truly was normal (no lab processing errors or outdated reference ranges). Also, it should re-evaluate if new data comes in (maybe the lab was repeated and came back low, then it becomes a regular deficiency case and M64 can hand it off).</w:t>
      </w:r>
    </w:p>
    <w:p>
      <w:pPr>
        <w:numPr>
          <w:ilvl w:val="0"/>
          <w:numId w:val="1009"/>
        </w:numPr>
      </w:pPr>
      <w:r>
        <w:rPr>
          <w:b/>
          <w:bCs/>
        </w:rPr>
        <w:t xml:space="preserve">Interaction with Patient Terrain:</w:t>
      </w:r>
      <w:r>
        <w:t xml:space="preserve"> </w:t>
      </w:r>
      <w:r>
        <w:t xml:space="preserve">If M64 flags a functional deficiency, it essentially is saying “despite what Terrain’s labs module says about this coordinate, the true state might be different.” This can raise the instability band (since there’s uncertainty or hidden illness). It aligns with the concept of</w:t>
      </w:r>
      <w:r>
        <w:t xml:space="preserve"> </w:t>
      </w:r>
      <w:r>
        <w:rPr>
          <w:i/>
          <w:iCs/>
        </w:rPr>
        <w:t xml:space="preserve">Terrain uncertainty</w:t>
      </w:r>
      <w:r>
        <w:t xml:space="preserve">, as the patient’s status is not fully captured by routine measures. M64’s involvement effectively reduces terrain uncertainty by revealing the hidden problem, thereby allowing it to be addressed.</w:t>
      </w:r>
    </w:p>
    <w:p>
      <w:pPr>
        <w:numPr>
          <w:ilvl w:val="0"/>
          <w:numId w:val="1009"/>
        </w:numPr>
      </w:pPr>
      <w:r>
        <w:rPr>
          <w:b/>
          <w:bCs/>
        </w:rPr>
        <w:t xml:space="preserve">Example Use-Case Flow:</w:t>
      </w:r>
      <w:r>
        <w:br/>
      </w:r>
      <w:r>
        <w:rPr>
          <w:i/>
          <w:iCs/>
        </w:rPr>
        <w:t xml:space="preserve">Patient scenario:</w:t>
      </w:r>
      <w:r>
        <w:t xml:space="preserve"> </w:t>
      </w:r>
      <w:r>
        <w:t xml:space="preserve">65-year-old with fatigue and neuropathy, B₁₂ level comes back 300 pg/mL (lab’s normal &gt;200). The standard lab interpretation module says “B₁₂ normal.” Without M64, the system might exclude B₁₂ deficiency as a cause. With M64, it notices MCV is 105 (high) and patient has neuropathy. It checks if an MMA test was done; suppose not. It flags: “Possible functional B₁₂ deficiency – discrepancy between labs and symptoms.” It suggests an MMA test. The clinician orders it (or system does); MMA returns very high. M64 now confirms a functional B₁₂ deficiency state. The system’s diagnosis module adds “Vitamin B₁₂ deficiency (functional, with normal serum levels)” to the problem list</w:t>
      </w:r>
      <w:hyperlink r:id="rId32">
        <w:r>
          <w:rPr>
            <w:rStyle w:val="Hyperlink"/>
          </w:rPr>
          <w:t xml:space="preserve">[11]</w:t>
        </w:r>
      </w:hyperlink>
      <w:r>
        <w:t xml:space="preserve">. The treatment module then proceeds with B₁₂ injections. The patient improves, neuropathy doesn’t worsen – confirming the blind spot was caught. M64 logs this outcome. If the MMA had been normal, M64 would drop the suspicion and note that the normal lab was indeed true normal, so the cause of symptoms must lie elsewhere (and perhaps trigger other investigations).</w:t>
      </w:r>
    </w:p>
    <w:p>
      <w:pPr>
        <w:pStyle w:val="FirstParagraph"/>
      </w:pPr>
      <w:r>
        <w:t xml:space="preserve">This module essentially creates a</w:t>
      </w:r>
      <w:r>
        <w:t xml:space="preserve"> </w:t>
      </w:r>
      <w:r>
        <w:rPr>
          <w:b/>
          <w:bCs/>
        </w:rPr>
        <w:t xml:space="preserve">new layer of defense</w:t>
      </w:r>
      <w:r>
        <w:t xml:space="preserve"> </w:t>
      </w:r>
      <w:r>
        <w:t xml:space="preserve">in the diagnostic process. It is analogous to a “second opinion” that specifically looks for these counterintuitive states.</w:t>
      </w:r>
    </w:p>
    <w:bookmarkEnd w:id="57"/>
    <w:bookmarkStart w:id="58" w:name="relation-to-existing-v5.2v6-structures"/>
    <w:p>
      <w:pPr>
        <w:pStyle w:val="Heading3"/>
      </w:pPr>
      <w:r>
        <w:rPr>
          <w:b/>
          <w:bCs/>
        </w:rPr>
        <w:t xml:space="preserve">Relation to Existing V5.2/V6 Structures</w:t>
      </w:r>
    </w:p>
    <w:p>
      <w:pPr>
        <w:pStyle w:val="FirstParagraph"/>
      </w:pPr>
      <w:r>
        <w:t xml:space="preserve">Introducing M64 would harmonize with the Ethos-of-Health’s principles:</w:t>
      </w:r>
      <w:r>
        <w:t xml:space="preserve"> </w:t>
      </w:r>
      <w:r>
        <w:t xml:space="preserve">- It complements the</w:t>
      </w:r>
      <w:r>
        <w:t xml:space="preserve"> </w:t>
      </w:r>
      <w:r>
        <w:rPr>
          <w:b/>
          <w:bCs/>
        </w:rPr>
        <w:t xml:space="preserve">Clinical Invariants (M57)</w:t>
      </w:r>
      <w:r>
        <w:t xml:space="preserve"> </w:t>
      </w:r>
      <w:r>
        <w:t xml:space="preserve">by adding a kind of invariant:</w:t>
      </w:r>
      <w:r>
        <w:t xml:space="preserve"> </w:t>
      </w:r>
      <w:r>
        <w:rPr>
          <w:i/>
          <w:iCs/>
        </w:rPr>
        <w:t xml:space="preserve">“Normal biomarker level does not always mean absence of deficiency”</w:t>
      </w:r>
      <w:r>
        <w:t xml:space="preserve"> </w:t>
      </w:r>
      <w:r>
        <w:t xml:space="preserve">– an invariant that is currently implicit in expert logic but now made explicit and governed.</w:t>
      </w:r>
      <w:r>
        <w:t xml:space="preserve"> </w:t>
      </w:r>
      <w:r>
        <w:t xml:space="preserve">- It interacts with</w:t>
      </w:r>
      <w:r>
        <w:t xml:space="preserve"> </w:t>
      </w:r>
      <w:r>
        <w:rPr>
          <w:b/>
          <w:bCs/>
        </w:rPr>
        <w:t xml:space="preserve">Suppression and Escalation</w:t>
      </w:r>
      <w:r>
        <w:t xml:space="preserve">: If a potential deficiency is being masked by normal labs, M64 prevents the system from erroneously de-escalating the patient’s priority. In V5.2 terms, it stops a “false exit” from the diagnostic process. This is akin to the false-exit suppression idea (M2/M3 in V5.2) where certain improvements are ignored; here a “false normal” is identified and its misleading effect nullified.</w:t>
      </w:r>
      <w:r>
        <w:t xml:space="preserve"> </w:t>
      </w:r>
      <w:r>
        <w:t xml:space="preserve">- It supports</w:t>
      </w:r>
      <w:r>
        <w:t xml:space="preserve"> </w:t>
      </w:r>
      <w:r>
        <w:rPr>
          <w:b/>
          <w:bCs/>
        </w:rPr>
        <w:t xml:space="preserve">Cross-Module Coherence</w:t>
      </w:r>
      <w:r>
        <w:t xml:space="preserve">: Many modules might otherwise individually decide nothing is wrong (lab module says normal, symptom module alone can’t pinpoint cause). M64 provides a cross-cutting perspective that unifies lab and clinical data to find what single-domain modules can’t.</w:t>
      </w:r>
      <w:r>
        <w:t xml:space="preserve"> </w:t>
      </w:r>
      <w:r>
        <w:t xml:space="preserve">- Regarding</w:t>
      </w:r>
      <w:r>
        <w:t xml:space="preserve"> </w:t>
      </w:r>
      <w:r>
        <w:rPr>
          <w:b/>
          <w:bCs/>
        </w:rPr>
        <w:t xml:space="preserve">Refusal logic</w:t>
      </w:r>
      <w:r>
        <w:t xml:space="preserve">: M64 would own the decision to</w:t>
      </w:r>
      <w:r>
        <w:t xml:space="preserve"> </w:t>
      </w:r>
      <w:r>
        <w:rPr>
          <w:i/>
          <w:iCs/>
        </w:rPr>
        <w:t xml:space="preserve">refuse a “all-clear” conclusion</w:t>
      </w:r>
      <w:r>
        <w:t xml:space="preserve">. If an algorithm tries to conclude “No B₁₂ deficiency” but M64 has evidence to the contrary, it would refuse that conclusion and keep the case open. Conversely, if someone tries to label deficiency without evidence, M64 can also ensure we’re not chasing ghosts (thus it can either refuse unwarranted closure or refuse unwarranted diagnoses – providing a balanced oversight).</w:t>
      </w:r>
    </w:p>
    <w:bookmarkEnd w:id="58"/>
    <w:bookmarkStart w:id="59" w:name="new-canonical-term-vs-pure-routing"/>
    <w:p>
      <w:pPr>
        <w:pStyle w:val="Heading3"/>
      </w:pPr>
      <w:r>
        <w:rPr>
          <w:b/>
          <w:bCs/>
        </w:rPr>
        <w:t xml:space="preserve">New Canonical Term vs Pure Routing</w:t>
      </w:r>
    </w:p>
    <w:p>
      <w:pPr>
        <w:pStyle w:val="FirstParagraph"/>
      </w:pPr>
      <w:r>
        <w:t xml:space="preserve">We recommend that</w:t>
      </w:r>
      <w:r>
        <w:t xml:space="preserve"> </w:t>
      </w:r>
      <w:r>
        <w:rPr>
          <w:b/>
          <w:bCs/>
        </w:rPr>
        <w:t xml:space="preserve">Ethos-of-Health V6 introduce a canonical classification for these functional deficiencies</w:t>
      </w:r>
      <w:r>
        <w:t xml:space="preserve">, not just handle them behind the scenes. This means having an entry in the knowledge base like “Functional nutrient deficiency” which can be instantiated (e.g., “Functional vitamin D deficiency due to end-organ resistance”). Why? Because giving it a name and place in the ontology allows:</w:t>
      </w:r>
      <w:r>
        <w:t xml:space="preserve"> </w:t>
      </w:r>
      <w:r>
        <w:t xml:space="preserve">- Clear communication to clinicians (e.g., listing it as a diagnosis on a patient’s record legitimizes the concern even though the basic labs are normal).</w:t>
      </w:r>
      <w:r>
        <w:t xml:space="preserve"> </w:t>
      </w:r>
      <w:r>
        <w:t xml:space="preserve">- Better data tracking (we can query how often these occur, outcomes, etc., since they are coded entities).</w:t>
      </w:r>
      <w:r>
        <w:t xml:space="preserve"> </w:t>
      </w:r>
      <w:r>
        <w:t xml:space="preserve">- Easier maintenance (if new research identifies a new functional deficiency syndrome, we add it under this umbrella and update M64’s logic accordingly).</w:t>
      </w:r>
      <w:r>
        <w:t xml:space="preserve"> </w:t>
      </w:r>
      <w:r>
        <w:t xml:space="preserve">- Avoiding ambiguity in audit: we won’t just say “some logic thought maybe B₁₂ was low,” we’ll say “diagnosis: functional B₁₂ deficiency – resolved with treatment,” which is auditable and explainable.</w:t>
      </w:r>
    </w:p>
    <w:p>
      <w:pPr>
        <w:pStyle w:val="BodyText"/>
      </w:pPr>
      <w:r>
        <w:t xml:space="preserve">If we did it as purely routing/containment logic (no named concept), the system might internally consider possibilities but never surface them as distinct conditions. That could lead to confusion or lack of transparency. Clinicians using the system should ideally see an explanation like:</w:t>
      </w:r>
      <w:r>
        <w:t xml:space="preserve"> </w:t>
      </w:r>
      <w:r>
        <w:rPr>
          <w:i/>
          <w:iCs/>
        </w:rPr>
        <w:t xml:space="preserve">“Although your patient’s folate is normal, the system suspects a cerebral folate deficiency based on XYZ. This is being handled by Module 64.”</w:t>
      </w:r>
      <w:r>
        <w:t xml:space="preserve"> </w:t>
      </w:r>
      <w:r>
        <w:t xml:space="preserve">That is more actionable than a black-box “the system isn’t satisfied but won’t tell you why.”</w:t>
      </w:r>
    </w:p>
    <w:p>
      <w:pPr>
        <w:pStyle w:val="BodyText"/>
      </w:pPr>
      <w:r>
        <w:t xml:space="preserve">Therefore, we lean towards</w:t>
      </w:r>
      <w:r>
        <w:t xml:space="preserve"> </w:t>
      </w:r>
      <w:r>
        <w:rPr>
          <w:b/>
          <w:bCs/>
        </w:rPr>
        <w:t xml:space="preserve">making it a first-class diagnostic category in the system, with appropriate links to traditional categories</w:t>
      </w:r>
      <w:r>
        <w:t xml:space="preserve">. For example, “Functional B₁₂ deficiency” would map to the broader class of “Vitamin B₁₂ deficiency” in ICD/SNOMED (for interoperability) but carry a flag that serum B₁₂ may be normal – which is information that could be conveyed in a FHIR extension or simply in the clinical note.</w:t>
      </w:r>
    </w:p>
    <w:bookmarkEnd w:id="59"/>
    <w:bookmarkStart w:id="60" w:name="draft-module-structure-m64-summary"/>
    <w:p>
      <w:pPr>
        <w:pStyle w:val="Heading3"/>
      </w:pPr>
      <w:r>
        <w:rPr>
          <w:b/>
          <w:bCs/>
        </w:rPr>
        <w:t xml:space="preserve">Draft Module Structure (M64) Summary</w:t>
      </w:r>
    </w:p>
    <w:p>
      <w:pPr>
        <w:pStyle w:val="Compact"/>
        <w:numPr>
          <w:ilvl w:val="0"/>
          <w:numId w:val="1012"/>
        </w:numPr>
      </w:pPr>
      <w:r>
        <w:rPr>
          <w:b/>
          <w:bCs/>
        </w:rPr>
        <w:t xml:space="preserve">M64 – Functional Deficiency Detection &amp; Routing</w:t>
      </w:r>
      <w:r>
        <w:br/>
      </w:r>
      <w:r>
        <w:rPr>
          <w:b/>
          <w:bCs/>
        </w:rPr>
        <w:t xml:space="preserve">Keywords:</w:t>
      </w:r>
      <w:r>
        <w:t xml:space="preserve"> </w:t>
      </w:r>
      <w:r>
        <w:rPr>
          <w:i/>
          <w:iCs/>
        </w:rPr>
        <w:t xml:space="preserve">functional nutrient deficiency, tissue-level deficiency, serum-tissue mismatch, end-organ resistance, utilization failure, diagnostic blind spot</w:t>
      </w:r>
      <w:r>
        <w:br/>
      </w:r>
      <w:r>
        <w:rPr>
          <w:b/>
          <w:bCs/>
        </w:rPr>
        <w:t xml:space="preserve">Owns:</w:t>
      </w:r>
      <w:r>
        <w:t xml:space="preserve"> </w:t>
      </w:r>
      <w:r>
        <w:t xml:space="preserve">Detection of patterns indicating a nutrient or hormone is not effectively utilized despite normal circulation levels; classification of such states into a standardized ontology; triggering of confirmatory tests or specialist workflows; and audit of these events.</w:t>
      </w:r>
      <w:r>
        <w:br/>
      </w:r>
      <w:r>
        <w:rPr>
          <w:b/>
          <w:bCs/>
        </w:rPr>
        <w:t xml:space="preserve">Does NOT Own:</w:t>
      </w:r>
      <w:r>
        <w:t xml:space="preserve"> </w:t>
      </w:r>
      <w:r>
        <w:t xml:space="preserve">Definitive diagnosis of unrelated conditions (stays in its lane of nutrients/hormones), management of the deficiency (passed to therapy modules), or general lab interpretation (does not override lab results but contextualizes them).</w:t>
      </w:r>
      <w:r>
        <w:br/>
      </w:r>
      <w:r>
        <w:rPr>
          <w:b/>
          <w:bCs/>
        </w:rPr>
        <w:t xml:space="preserve">Inputs:</w:t>
      </w:r>
      <w:r>
        <w:t xml:space="preserve"> </w:t>
      </w:r>
      <w:r>
        <w:t xml:space="preserve">Patient data stream (lab results, clinical observations, symptoms, signals from other modules like trends), knowledge base of known functional deficits (with criteria).</w:t>
      </w:r>
      <w:r>
        <w:br/>
      </w:r>
      <w:r>
        <w:rPr>
          <w:b/>
          <w:bCs/>
        </w:rPr>
        <w:t xml:space="preserve">Outputs:</w:t>
      </w:r>
    </w:p>
    <w:p>
      <w:pPr>
        <w:pStyle w:val="Compact"/>
        <w:numPr>
          <w:ilvl w:val="0"/>
          <w:numId w:val="1012"/>
        </w:numPr>
      </w:pPr>
      <w:r>
        <w:t xml:space="preserve">Alerts/flags (e.g., “Possible functional deficiency of X”),</w:t>
      </w:r>
    </w:p>
    <w:p>
      <w:pPr>
        <w:pStyle w:val="Compact"/>
        <w:numPr>
          <w:ilvl w:val="0"/>
          <w:numId w:val="1012"/>
        </w:numPr>
      </w:pPr>
      <w:r>
        <w:t xml:space="preserve">Confirmed functional deficiency diagnoses (when criteria met),</w:t>
      </w:r>
    </w:p>
    <w:p>
      <w:pPr>
        <w:pStyle w:val="Compact"/>
        <w:numPr>
          <w:ilvl w:val="0"/>
          <w:numId w:val="1012"/>
        </w:numPr>
      </w:pPr>
      <w:r>
        <w:t xml:space="preserve">Suggested actions (additional tests, consults, or treatments),</w:t>
      </w:r>
    </w:p>
    <w:p>
      <w:pPr>
        <w:pStyle w:val="Compact"/>
        <w:numPr>
          <w:ilvl w:val="0"/>
          <w:numId w:val="1012"/>
        </w:numPr>
      </w:pPr>
      <w:r>
        <w:t xml:space="preserve">Explanatory rationale for each flag (for transparency),</w:t>
      </w:r>
    </w:p>
    <w:p>
      <w:pPr>
        <w:pStyle w:val="Compact"/>
        <w:numPr>
          <w:ilvl w:val="0"/>
          <w:numId w:val="1012"/>
        </w:numPr>
      </w:pPr>
      <w:r>
        <w:t xml:space="preserve">Audit log entries for system governance.</w:t>
      </w:r>
      <w:r>
        <w:br/>
      </w:r>
      <w:r>
        <w:rPr>
          <w:b/>
          <w:bCs/>
        </w:rPr>
        <w:t xml:space="preserve">Example Rule Snippet:</w:t>
      </w:r>
      <w:r>
        <w:t xml:space="preserve"> </w:t>
      </w:r>
      <w:r>
        <w:rPr>
          <w:i/>
          <w:iCs/>
        </w:rPr>
        <w:t xml:space="preserve">If (VitaminB12.level ≥ LowNormal) AND (neurologic_symptoms=true OR MMA &gt;&gt; ULN) then FunctionalB12Deficiency.score += 1 (flag if score&gt;=threshold).</w:t>
      </w:r>
      <w:r>
        <w:t xml:space="preserve"> </w:t>
      </w:r>
      <w:r>
        <w:t xml:space="preserve">(Similar rules per nutrient/hormone.)</w:t>
      </w:r>
      <w:r>
        <w:br/>
      </w:r>
      <w:r>
        <w:rPr>
          <w:b/>
          <w:bCs/>
        </w:rPr>
        <w:t xml:space="preserve">Interactions:</w:t>
      </w:r>
      <w:r>
        <w:t xml:space="preserve"> </w:t>
      </w:r>
      <w:r>
        <w:t xml:space="preserve">Collaborates with suppression logic to avoid false reassurance; informs the probabilistic model to keep differential diagnoses open; interfaces with the explanation system to justify why it’s questioning a normal result (“evidence of tissue deficiency present”).</w:t>
      </w:r>
      <w:r>
        <w:br/>
      </w:r>
      <w:r>
        <w:rPr>
          <w:b/>
          <w:bCs/>
        </w:rPr>
        <w:t xml:space="preserve">Success Criteria:</w:t>
      </w:r>
      <w:r>
        <w:t xml:space="preserve"> </w:t>
      </w:r>
      <w:r>
        <w:t xml:space="preserve">Cases of missed deficiencies are reduced; no inappropriate treatment is given when truly everything is normal (maintain specificity by requiring solid evidence like abnormal secondary markers); clinician satisfaction that the system “thinks like a doctor” in not ignoring clinical red flags.</w:t>
      </w:r>
    </w:p>
    <w:p>
      <w:pPr>
        <w:pStyle w:val="FirstParagraph"/>
      </w:pPr>
      <w:r>
        <w:t xml:space="preserve">By implementing M64,</w:t>
      </w:r>
      <w:r>
        <w:t xml:space="preserve"> </w:t>
      </w:r>
      <w:r>
        <w:rPr>
          <w:b/>
          <w:bCs/>
        </w:rPr>
        <w:t xml:space="preserve">Ethos-of-Health V6 would formally acknowledge and address the ‘blood-normal but ineffective’ diagnostic gap</w:t>
      </w:r>
      <w:r>
        <w:t xml:space="preserve">, turning a known blind spot into a managed aspect of the system’s intelligence. This aligns with the broader mission of V6 to improve safety, explainability, and clinical completeness. It also provides a model for how the system handles other forms of uncertainty – not by silence or dismissal, but by</w:t>
      </w:r>
      <w:r>
        <w:t xml:space="preserve"> </w:t>
      </w:r>
      <w:r>
        <w:rPr>
          <w:i/>
          <w:iCs/>
        </w:rPr>
        <w:t xml:space="preserve">active investigation and labeling</w:t>
      </w:r>
      <w:r>
        <w:t xml:space="preserve"> </w:t>
      </w:r>
      <w:r>
        <w:t xml:space="preserve">of the uncertainty.</w:t>
      </w:r>
    </w:p>
    <w:bookmarkEnd w:id="60"/>
    <w:bookmarkEnd w:id="61"/>
    <w:bookmarkStart w:id="68" w:name="X71ea0de322b83768e9c1edf900035077a1b5fe3"/>
    <w:p>
      <w:pPr>
        <w:pStyle w:val="Heading2"/>
      </w:pPr>
      <w:r>
        <w:rPr>
          <w:b/>
          <w:bCs/>
        </w:rPr>
        <w:t xml:space="preserve">Relationship to V5.2/V6 Concepts: Suppression, Refusal, Terrain</w:t>
      </w:r>
    </w:p>
    <w:p>
      <w:pPr>
        <w:pStyle w:val="FirstParagraph"/>
      </w:pPr>
      <w:r>
        <w:t xml:space="preserve">To explicitly tie this into the existing framework:</w:t>
      </w:r>
    </w:p>
    <w:p>
      <w:pPr>
        <w:numPr>
          <w:ilvl w:val="0"/>
          <w:numId w:val="1013"/>
        </w:numPr>
      </w:pPr>
      <w:r>
        <w:rPr>
          <w:b/>
          <w:bCs/>
        </w:rPr>
        <w:t xml:space="preserve">Suppression:</w:t>
      </w:r>
      <w:r>
        <w:t xml:space="preserve"> </w:t>
      </w:r>
      <w:r>
        <w:t xml:space="preserve">In V5.2, suppression was used to</w:t>
      </w:r>
      <w:r>
        <w:t xml:space="preserve"> </w:t>
      </w:r>
      <w:r>
        <w:rPr>
          <w:i/>
          <w:iCs/>
        </w:rPr>
        <w:t xml:space="preserve">pause or prevent premature conclusions</w:t>
      </w:r>
      <w:r>
        <w:t xml:space="preserve"> </w:t>
      </w:r>
      <w:r>
        <w:t xml:space="preserve">in scenarios like lab errors or transient anomalies</w:t>
      </w:r>
      <w:hyperlink r:id="rId62">
        <w:r>
          <w:rPr>
            <w:rStyle w:val="Hyperlink"/>
          </w:rPr>
          <w:t xml:space="preserve">[33]</w:t>
        </w:r>
      </w:hyperlink>
      <w:hyperlink r:id="rId53">
        <w:r>
          <w:rPr>
            <w:rStyle w:val="Hyperlink"/>
          </w:rPr>
          <w:t xml:space="preserve">[30]</w:t>
        </w:r>
      </w:hyperlink>
      <w:r>
        <w:t xml:space="preserve">. A normal lab that doesn’t fit could be considered analogous to a lab error (false negative). M64 would signal a suppression of any automatic “all-clear” decision. For instance, normally a normal lab might allow the instability band to drop (thinking patient is better), but M64’s flag would suppress that drop – keeping the patient in a “pending” state until resolved. In practice, this might mean the patient’s</w:t>
      </w:r>
      <w:r>
        <w:t xml:space="preserve"> </w:t>
      </w:r>
      <w:r>
        <w:rPr>
          <w:b/>
          <w:bCs/>
        </w:rPr>
        <w:t xml:space="preserve">stability score</w:t>
      </w:r>
      <w:r>
        <w:t xml:space="preserve"> </w:t>
      </w:r>
      <w:r>
        <w:t xml:space="preserve">isn’t improved solely by that normal lab if symptoms persist, preventing an inappropriate discharge or closure of the case.</w:t>
      </w:r>
    </w:p>
    <w:p>
      <w:pPr>
        <w:numPr>
          <w:ilvl w:val="0"/>
          <w:numId w:val="1013"/>
        </w:numPr>
      </w:pPr>
      <w:r>
        <w:rPr>
          <w:b/>
          <w:bCs/>
        </w:rPr>
        <w:t xml:space="preserve">Refusal:</w:t>
      </w:r>
      <w:r>
        <w:t xml:space="preserve"> </w:t>
      </w:r>
      <w:r>
        <w:t xml:space="preserve">V6’s refusal logic is about the system declining to take certain actions outside its safety bounds</w:t>
      </w:r>
      <w:hyperlink r:id="rId54">
        <w:r>
          <w:rPr>
            <w:rStyle w:val="Hyperlink"/>
          </w:rPr>
          <w:t xml:space="preserve">[31]</w:t>
        </w:r>
      </w:hyperlink>
      <w:hyperlink r:id="rId55">
        <w:r>
          <w:rPr>
            <w:rStyle w:val="Hyperlink"/>
          </w:rPr>
          <w:t xml:space="preserve">[32]</w:t>
        </w:r>
      </w:hyperlink>
      <w:r>
        <w:t xml:space="preserve">. M64 would integrate by adding new refusal conditions: e.g.,</w:t>
      </w:r>
      <w:r>
        <w:t xml:space="preserve"> </w:t>
      </w:r>
      <w:r>
        <w:rPr>
          <w:i/>
          <w:iCs/>
        </w:rPr>
        <w:t xml:space="preserve">refuse to label patient as “nutritionally replete” or “deficiency ruled out” if functional deficiency criteria are triggered</w:t>
      </w:r>
      <w:r>
        <w:t xml:space="preserve">. It could also contribute to refusing a recommendation that doesn’t consider functional deficiency. For example, if an external AI suggests “no need for B₁₂ follow-up” and M64 has flagged otherwise, the handshake module (OM↔CGH) would ensure EoH’s governance (backed by M64)</w:t>
      </w:r>
      <w:r>
        <w:t xml:space="preserve"> </w:t>
      </w:r>
      <w:r>
        <w:rPr>
          <w:b/>
          <w:bCs/>
        </w:rPr>
        <w:t xml:space="preserve">refuses</w:t>
      </w:r>
      <w:r>
        <w:t xml:space="preserve"> </w:t>
      </w:r>
      <w:r>
        <w:t xml:space="preserve">that suggestion</w:t>
      </w:r>
      <w:hyperlink r:id="rId63">
        <w:r>
          <w:rPr>
            <w:rStyle w:val="Hyperlink"/>
          </w:rPr>
          <w:t xml:space="preserve">[34]</w:t>
        </w:r>
      </w:hyperlink>
      <w:hyperlink r:id="rId64">
        <w:r>
          <w:rPr>
            <w:rStyle w:val="Hyperlink"/>
          </w:rPr>
          <w:t xml:space="preserve">[35]</w:t>
        </w:r>
      </w:hyperlink>
      <w:r>
        <w:t xml:space="preserve">. In the mapping of Orbit Mode states to governance, Orbit’s “strike” (attempted promotion of an answer) would run through refusal logic</w:t>
      </w:r>
      <w:hyperlink r:id="rId65">
        <w:r>
          <w:rPr>
            <w:rStyle w:val="Hyperlink"/>
          </w:rPr>
          <w:t xml:space="preserve">[36]</w:t>
        </w:r>
      </w:hyperlink>
      <w:r>
        <w:t xml:space="preserve">. If the answer is “Patient has no deficiencies,” M64’s output could cause that to be refused pending further evidence. This ensures the</w:t>
      </w:r>
      <w:r>
        <w:t xml:space="preserve"> </w:t>
      </w:r>
      <w:r>
        <w:rPr>
          <w:b/>
          <w:bCs/>
        </w:rPr>
        <w:t xml:space="preserve">final output to clinicians is appropriately cautious and evidence-based</w:t>
      </w:r>
      <w:r>
        <w:t xml:space="preserve">.</w:t>
      </w:r>
    </w:p>
    <w:p>
      <w:pPr>
        <w:numPr>
          <w:ilvl w:val="0"/>
          <w:numId w:val="1013"/>
        </w:numPr>
      </w:pPr>
      <w:r>
        <w:rPr>
          <w:b/>
          <w:bCs/>
        </w:rPr>
        <w:t xml:space="preserve">Terrain Uncertainty:</w:t>
      </w:r>
      <w:r>
        <w:t xml:space="preserve"> </w:t>
      </w:r>
      <w:r>
        <w:t xml:space="preserve">M64 essentially formalizes one source of terrain uncertainty – the patient might be in a higher instability band despite “normal labs” because something is unresolved. In V5.2, terrain stability is a product of confirmed diagnoses and controlled conditions. A functional deficiency is a hidden condition; by identifying it, we actually</w:t>
      </w:r>
      <w:r>
        <w:t xml:space="preserve"> </w:t>
      </w:r>
      <w:r>
        <w:rPr>
          <w:i/>
          <w:iCs/>
        </w:rPr>
        <w:t xml:space="preserve">reduce</w:t>
      </w:r>
      <w:r>
        <w:t xml:space="preserve"> </w:t>
      </w:r>
      <w:r>
        <w:t xml:space="preserve">uncertainty (because we name it and address it) but until identified, it’s a source of unexplained instability (symptoms without diagnosis). So M64 helps convert “terrain uncertainty” into a concrete hypothesis that can be tested. Once confirmed and treated, the patient’s terrain can genuinely stabilize (e.g., the patient moves to a lower band after vitamin replacement, validating that this was the issue all along). Moreover, M64 could use the concept of</w:t>
      </w:r>
      <w:r>
        <w:t xml:space="preserve"> </w:t>
      </w:r>
      <w:r>
        <w:rPr>
          <w:i/>
          <w:iCs/>
        </w:rPr>
        <w:t xml:space="preserve">“Symbolic Flare”</w:t>
      </w:r>
      <w:r>
        <w:t xml:space="preserve"> </w:t>
      </w:r>
      <w:r>
        <w:t xml:space="preserve">or other cues for uncertainty: for instance, repeated mild abnormalities or patient symptoms could be treated as signals that something like a functional deficiency is lurking, prompting the system to not declare victory too soon. This resonates with V5.2’s principle that a high instability band without explanation should trigger review</w:t>
      </w:r>
      <w:hyperlink r:id="rId66">
        <w:r>
          <w:rPr>
            <w:rStyle w:val="Hyperlink"/>
          </w:rPr>
          <w:t xml:space="preserve">[37]</w:t>
        </w:r>
      </w:hyperlink>
      <w:hyperlink r:id="rId67">
        <w:r>
          <w:rPr>
            <w:rStyle w:val="Hyperlink"/>
          </w:rPr>
          <w:t xml:space="preserve">[38]</w:t>
        </w:r>
      </w:hyperlink>
      <w:r>
        <w:t xml:space="preserve"> </w:t>
      </w:r>
      <w:r>
        <w:t xml:space="preserve">– M64 is essentially one type of “review” mechanism targeted at a known pitfall.</w:t>
      </w:r>
    </w:p>
    <w:p>
      <w:pPr>
        <w:pStyle w:val="FirstParagraph"/>
      </w:pPr>
      <w:r>
        <w:t xml:space="preserve">In essence,</w:t>
      </w:r>
      <w:r>
        <w:t xml:space="preserve"> </w:t>
      </w:r>
      <w:r>
        <w:rPr>
          <w:b/>
          <w:bCs/>
        </w:rPr>
        <w:t xml:space="preserve">M64 (as proposed) would live at the intersection of diagnostic reasoning and clinical governance</w:t>
      </w:r>
      <w:r>
        <w:t xml:space="preserve">: it is a content-heavy module (knowing about vitamins, receptors, etc.) but it exists chiefly to enforce an improved standard of care logic (don’t be fooled by normal numbers when the patient’s condition says otherwise). This enhances explainability (“the system considered a rare but important scenario and here’s why”) and improves adoptability because clinicians will see that the AI isn’t naively rule-based on lab cutoffs – it mirrors the real clinical thought process, increasing trust.</w:t>
      </w:r>
    </w:p>
    <w:bookmarkEnd w:id="68"/>
    <w:bookmarkStart w:id="69" w:name="conclusion"/>
    <w:p>
      <w:pPr>
        <w:pStyle w:val="Heading2"/>
      </w:pPr>
      <w:r>
        <w:rPr>
          <w:b/>
          <w:bCs/>
        </w:rPr>
        <w:t xml:space="preserve">Conclusion</w:t>
      </w:r>
    </w:p>
    <w:p>
      <w:pPr>
        <w:pStyle w:val="FirstParagraph"/>
      </w:pPr>
      <w:r>
        <w:t xml:space="preserve">The phenomenon of “blood-normal but ineffective” biomarker states is well-documented across multiple domains of medicine, yet it remains a challenge for any algorithm or practitioner relying solely on standard labs. We found that while no single term encompasses it, the literature speaks in terms of</w:t>
      </w:r>
      <w:r>
        <w:t xml:space="preserve"> </w:t>
      </w:r>
      <w:r>
        <w:rPr>
          <w:b/>
          <w:bCs/>
        </w:rPr>
        <w:t xml:space="preserve">functional deficiencies, tissue-specific deficiencies, and end-organ resistance</w:t>
      </w:r>
      <w:r>
        <w:t xml:space="preserve"> </w:t>
      </w:r>
      <w:r>
        <w:t xml:space="preserve">to describe these cases. Numerous conditions exemplify the pattern, from</w:t>
      </w:r>
      <w:r>
        <w:t xml:space="preserve"> </w:t>
      </w:r>
      <w:r>
        <w:rPr>
          <w:b/>
          <w:bCs/>
        </w:rPr>
        <w:t xml:space="preserve">cerebral folate deficiency</w:t>
      </w:r>
      <w:r>
        <w:t xml:space="preserve"> </w:t>
      </w:r>
      <w:r>
        <w:t xml:space="preserve">(low brain folate with normal serum</w:t>
      </w:r>
      <w:hyperlink r:id="rId24">
        <w:r>
          <w:rPr>
            <w:rStyle w:val="Hyperlink"/>
          </w:rPr>
          <w:t xml:space="preserve">[4]</w:t>
        </w:r>
      </w:hyperlink>
      <w:r>
        <w:t xml:space="preserve">) to</w:t>
      </w:r>
      <w:r>
        <w:t xml:space="preserve"> </w:t>
      </w:r>
      <w:r>
        <w:rPr>
          <w:b/>
          <w:bCs/>
        </w:rPr>
        <w:t xml:space="preserve">functional B₁₂ deficiency</w:t>
      </w:r>
      <w:r>
        <w:t xml:space="preserve"> </w:t>
      </w:r>
      <w:r>
        <w:t xml:space="preserve">(normal B₁₂ with high MMA</w:t>
      </w:r>
      <w:hyperlink r:id="rId22">
        <w:r>
          <w:rPr>
            <w:rStyle w:val="Hyperlink"/>
          </w:rPr>
          <w:t xml:space="preserve">[2]</w:t>
        </w:r>
      </w:hyperlink>
      <w:r>
        <w:t xml:space="preserve">) to</w:t>
      </w:r>
      <w:r>
        <w:t xml:space="preserve"> </w:t>
      </w:r>
      <w:r>
        <w:rPr>
          <w:b/>
          <w:bCs/>
        </w:rPr>
        <w:t xml:space="preserve">vitamin D resistance</w:t>
      </w:r>
      <w:r>
        <w:t xml:space="preserve"> </w:t>
      </w:r>
      <w:r>
        <w:t xml:space="preserve">(rickets despite normal vitamin D</w:t>
      </w:r>
      <w:hyperlink r:id="rId26">
        <w:r>
          <w:rPr>
            <w:rStyle w:val="Hyperlink"/>
          </w:rPr>
          <w:t xml:space="preserve">[6]</w:t>
        </w:r>
      </w:hyperlink>
      <w:r>
        <w:t xml:space="preserve">) and beyond.</w:t>
      </w:r>
    </w:p>
    <w:p>
      <w:pPr>
        <w:pStyle w:val="BodyText"/>
      </w:pPr>
      <w:r>
        <w:t xml:space="preserve">Existing clinical tools – such as reflex biochemical tests and detailed guidelines – acknowledge these possibilities and provide paths to diagnosis (e.g.,</w:t>
      </w:r>
      <w:r>
        <w:t xml:space="preserve"> </w:t>
      </w:r>
      <w:r>
        <w:rPr>
          <w:b/>
          <w:bCs/>
        </w:rPr>
        <w:t xml:space="preserve">checking homocysteine, transferrin saturation, or CSF levels</w:t>
      </w:r>
      <w:r>
        <w:t xml:space="preserve"> </w:t>
      </w:r>
      <w:r>
        <w:t xml:space="preserve">when appropriate). However, these require an astute clinician or pre-set protocols. In a complex clinical decision support system like Ethos-of-Health, it is crucial to bake in that astuteness.</w:t>
      </w:r>
    </w:p>
    <w:p>
      <w:pPr>
        <w:pStyle w:val="BodyText"/>
      </w:pPr>
      <w:r>
        <w:t xml:space="preserve">We propose formalizing this into the system by</w:t>
      </w:r>
      <w:r>
        <w:t xml:space="preserve"> </w:t>
      </w:r>
      <w:r>
        <w:rPr>
          <w:b/>
          <w:bCs/>
        </w:rPr>
        <w:t xml:space="preserve">introducing a dedicated classification and reasoning module (M64)</w:t>
      </w:r>
      <w:r>
        <w:t xml:space="preserve"> </w:t>
      </w:r>
      <w:r>
        <w:t xml:space="preserve">in V6, which would own the detection and handling of “blood-normal but functionally deficient” scenarios. This module would integrate with suppression and refusal logic to ensure that normal lab results do not lead to premature dismissal of the patient’s problem when other evidence suggests otherwise. It would reduce “terrain uncertainty” by uncovering hidden problems, thereby improving patient outcomes and diagnostic confidence. It would also create an auditable trail of these often-missed diagnoses, feeding back into quality improvement.</w:t>
      </w:r>
    </w:p>
    <w:p>
      <w:pPr>
        <w:pStyle w:val="BodyText"/>
      </w:pPr>
      <w:r>
        <w:t xml:space="preserve">Ultimately, such a module aligns with the shift from V5.2 to V6 – moving from implicit knowledge and scattered rules to an explicit, auditable, and modular representation of clinical reasoning. By catching these diagnostic blind spots, we uphold a higher standard of care:</w:t>
      </w:r>
      <w:r>
        <w:t xml:space="preserve"> </w:t>
      </w:r>
      <w:r>
        <w:rPr>
          <w:i/>
          <w:iCs/>
        </w:rPr>
        <w:t xml:space="preserve">“normal is not always normal”</w:t>
      </w:r>
      <w:r>
        <w:t xml:space="preserve"> </w:t>
      </w:r>
      <w:r>
        <w:t xml:space="preserve">– a truth every experienced clinician knows, now to be taught to our clinical AI.</w:t>
      </w:r>
    </w:p>
    <w:p>
      <w:pPr>
        <w:pStyle w:val="BodyText"/>
      </w:pPr>
      <w:r>
        <w:t xml:space="preserve">This addition would make the Ethos-of-Health system more robust, explainable, and trustworthy to its clinician users, ensuring that</w:t>
      </w:r>
      <w:r>
        <w:t xml:space="preserve"> </w:t>
      </w:r>
      <w:r>
        <w:rPr>
          <w:b/>
          <w:bCs/>
        </w:rPr>
        <w:t xml:space="preserve">no patient’s suffering is written off just because a lab number is colored green</w:t>
      </w:r>
      <w:r>
        <w:t xml:space="preserve">.</w:t>
      </w:r>
    </w:p>
    <w:p>
      <w:pPr>
        <w:pStyle w:val="BodyText"/>
      </w:pPr>
      <w:r>
        <w:rPr>
          <w:b/>
          <w:bCs/>
        </w:rPr>
        <w:t xml:space="preserve">Sources:</w:t>
      </w:r>
    </w:p>
    <w:p>
      <w:pPr>
        <w:pStyle w:val="Compact"/>
        <w:numPr>
          <w:ilvl w:val="0"/>
          <w:numId w:val="1014"/>
        </w:numPr>
      </w:pPr>
      <w:r>
        <w:t xml:space="preserve">Cosar, A., &amp; İpçıoğlu, O. M. (2014).</w:t>
      </w:r>
      <w:r>
        <w:t xml:space="preserve"> </w:t>
      </w:r>
      <w:r>
        <w:rPr>
          <w:i/>
          <w:iCs/>
        </w:rPr>
        <w:t xml:space="preserve">Detection of functional vitamin B12 and folate deficiencies, while serum levels are normal</w:t>
      </w:r>
      <w:r>
        <w:t xml:space="preserve">.</w:t>
      </w:r>
      <w:r>
        <w:t xml:space="preserve"> </w:t>
      </w:r>
      <w:r>
        <w:rPr>
          <w:b/>
          <w:bCs/>
        </w:rPr>
        <w:t xml:space="preserve">Blood Transfusion, 12</w:t>
      </w:r>
      <w:r>
        <w:t xml:space="preserve">(Suppl 1): s164. (Letter highlighting that normal B₁₂ levels do not exclude functional deficiency</w:t>
      </w:r>
      <w:hyperlink r:id="rId21">
        <w:r>
          <w:rPr>
            <w:rStyle w:val="Hyperlink"/>
          </w:rPr>
          <w:t xml:space="preserve">[1]</w:t>
        </w:r>
      </w:hyperlink>
      <w:r>
        <w:t xml:space="preserve">)</w:t>
      </w:r>
    </w:p>
    <w:p>
      <w:pPr>
        <w:pStyle w:val="Compact"/>
        <w:numPr>
          <w:ilvl w:val="0"/>
          <w:numId w:val="1014"/>
        </w:numPr>
      </w:pPr>
      <w:r>
        <w:t xml:space="preserve">Patient.info – Pernicious Anemia and B12 Deficiency (Professional Reference) – noting that</w:t>
      </w:r>
      <w:r>
        <w:t xml:space="preserve"> </w:t>
      </w:r>
      <w:r>
        <w:rPr>
          <w:b/>
          <w:bCs/>
        </w:rPr>
        <w:t xml:space="preserve">neurological damage can occur despite normal serum B12</w:t>
      </w:r>
      <w:r>
        <w:t xml:space="preserve"> </w:t>
      </w:r>
      <w:r>
        <w:t xml:space="preserve">and giving example of transcobalamin II causing functional B₁₂ deficiency</w:t>
      </w:r>
      <w:hyperlink r:id="rId32">
        <w:r>
          <w:rPr>
            <w:rStyle w:val="Hyperlink"/>
          </w:rPr>
          <w:t xml:space="preserve">[11]</w:t>
        </w:r>
      </w:hyperlink>
      <w:r>
        <w:t xml:space="preserve">.</w:t>
      </w:r>
    </w:p>
    <w:p>
      <w:pPr>
        <w:pStyle w:val="Compact"/>
        <w:numPr>
          <w:ilvl w:val="0"/>
          <w:numId w:val="1014"/>
        </w:numPr>
      </w:pPr>
      <w:r>
        <w:t xml:space="preserve">NeurodiverseCity Blog (2025) – explanation of</w:t>
      </w:r>
      <w:r>
        <w:t xml:space="preserve"> </w:t>
      </w:r>
      <w:r>
        <w:rPr>
          <w:b/>
          <w:bCs/>
        </w:rPr>
        <w:t xml:space="preserve">cerebral folate deficiency</w:t>
      </w:r>
      <w:r>
        <w:t xml:space="preserve"> </w:t>
      </w:r>
      <w:r>
        <w:t xml:space="preserve">as</w:t>
      </w:r>
      <w:r>
        <w:t xml:space="preserve"> </w:t>
      </w:r>
      <w:r>
        <w:rPr>
          <w:i/>
          <w:iCs/>
        </w:rPr>
        <w:t xml:space="preserve">low brain folate despite normal blood folate</w:t>
      </w:r>
      <w:r>
        <w:t xml:space="preserve">, treatable with leucovorin</w:t>
      </w:r>
      <w:hyperlink r:id="rId24">
        <w:r>
          <w:rPr>
            <w:rStyle w:val="Hyperlink"/>
          </w:rPr>
          <w:t xml:space="preserve">[4]</w:t>
        </w:r>
      </w:hyperlink>
      <w:r>
        <w:t xml:space="preserve">.</w:t>
      </w:r>
    </w:p>
    <w:p>
      <w:pPr>
        <w:pStyle w:val="Compact"/>
        <w:numPr>
          <w:ilvl w:val="0"/>
          <w:numId w:val="1014"/>
        </w:numPr>
      </w:pPr>
      <w:r>
        <w:t xml:space="preserve">StatPearls (2023) – Vitamin D Deficiency chapter, which mentions</w:t>
      </w:r>
      <w:r>
        <w:t xml:space="preserve"> </w:t>
      </w:r>
      <w:r>
        <w:rPr>
          <w:b/>
          <w:bCs/>
        </w:rPr>
        <w:t xml:space="preserve">hereditary vitamin D–resistant rickets as end-organ resistance</w:t>
      </w:r>
      <w:r>
        <w:t xml:space="preserve"> </w:t>
      </w:r>
      <w:r>
        <w:t xml:space="preserve">to vitamin D</w:t>
      </w:r>
      <w:hyperlink r:id="rId26">
        <w:r>
          <w:rPr>
            <w:rStyle w:val="Hyperlink"/>
          </w:rPr>
          <w:t xml:space="preserve">[6]</w:t>
        </w:r>
      </w:hyperlink>
      <w:r>
        <w:t xml:space="preserve">.</w:t>
      </w:r>
    </w:p>
    <w:p>
      <w:pPr>
        <w:pStyle w:val="Compact"/>
        <w:numPr>
          <w:ilvl w:val="0"/>
          <w:numId w:val="1014"/>
        </w:numPr>
      </w:pPr>
      <w:r>
        <w:t xml:space="preserve">Wikipedia – Thyroid hormone resistance (Refetoff syndrome) summary, describing</w:t>
      </w:r>
      <w:r>
        <w:t xml:space="preserve"> </w:t>
      </w:r>
      <w:r>
        <w:rPr>
          <w:b/>
          <w:bCs/>
        </w:rPr>
        <w:t xml:space="preserve">elevated T3/T4 with non-suppressed TSH</w:t>
      </w:r>
      <w:r>
        <w:t xml:space="preserve"> </w:t>
      </w:r>
      <w:r>
        <w:t xml:space="preserve">and end-organ hyporesponsiveness</w:t>
      </w:r>
      <w:hyperlink r:id="rId25">
        <w:r>
          <w:rPr>
            <w:rStyle w:val="Hyperlink"/>
          </w:rPr>
          <w:t xml:space="preserve">[8]</w:t>
        </w:r>
      </w:hyperlink>
      <w:r>
        <w:t xml:space="preserve">.</w:t>
      </w:r>
    </w:p>
    <w:p>
      <w:pPr>
        <w:pStyle w:val="Compact"/>
        <w:numPr>
          <w:ilvl w:val="0"/>
          <w:numId w:val="1014"/>
        </w:numPr>
      </w:pPr>
      <w:r>
        <w:t xml:space="preserve">The Blood Project – Key takeaways on iron in CKD, defining</w:t>
      </w:r>
      <w:r>
        <w:t xml:space="preserve"> </w:t>
      </w:r>
      <w:r>
        <w:rPr>
          <w:b/>
          <w:bCs/>
        </w:rPr>
        <w:t xml:space="preserve">functional iron deficiency</w:t>
      </w:r>
      <w:r>
        <w:t xml:space="preserve"> </w:t>
      </w:r>
      <w:r>
        <w:t xml:space="preserve">as iron stores present but unavailable for use (ferritin &gt;100 or 200 with low TSAT)</w:t>
      </w:r>
      <w:hyperlink r:id="rId38">
        <w:r>
          <w:rPr>
            <w:rStyle w:val="Hyperlink"/>
          </w:rPr>
          <w:t xml:space="preserve">[17]</w:t>
        </w:r>
      </w:hyperlink>
      <w:hyperlink r:id="rId38">
        <w:r>
          <w:rPr>
            <w:rStyle w:val="Hyperlink"/>
          </w:rPr>
          <w:t xml:space="preserve">[18]</w:t>
        </w:r>
      </w:hyperlink>
      <w:r>
        <w:t xml:space="preserve">.</w:t>
      </w:r>
    </w:p>
    <w:p>
      <w:pPr>
        <w:pStyle w:val="Compact"/>
        <w:numPr>
          <w:ilvl w:val="0"/>
          <w:numId w:val="1014"/>
        </w:numPr>
      </w:pPr>
      <w:r>
        <w:t xml:space="preserve">Moradi et al. (2016)</w:t>
      </w:r>
      <w:r>
        <w:t xml:space="preserve"> </w:t>
      </w:r>
      <w:r>
        <w:rPr>
          <w:i/>
          <w:iCs/>
        </w:rPr>
        <w:t xml:space="preserve">Kidney International</w:t>
      </w:r>
      <w:r>
        <w:t xml:space="preserve"> </w:t>
      </w:r>
      <w:r>
        <w:t xml:space="preserve">commentary – discussing</w:t>
      </w:r>
      <w:r>
        <w:t xml:space="preserve"> </w:t>
      </w:r>
      <w:r>
        <w:rPr>
          <w:b/>
          <w:bCs/>
        </w:rPr>
        <w:t xml:space="preserve">functional thiamine deficiency in ESRD due to oxythiamine</w:t>
      </w:r>
      <w:r>
        <w:t xml:space="preserve"> </w:t>
      </w:r>
      <w:r>
        <w:t xml:space="preserve">(antivitamin) accumulation</w:t>
      </w:r>
      <w:hyperlink r:id="rId41">
        <w:r>
          <w:rPr>
            <w:rStyle w:val="Hyperlink"/>
          </w:rPr>
          <w:t xml:space="preserve">[20]</w:t>
        </w:r>
      </w:hyperlink>
      <w:r>
        <w:t xml:space="preserve">.</w:t>
      </w:r>
    </w:p>
    <w:p>
      <w:pPr>
        <w:pStyle w:val="Compact"/>
        <w:numPr>
          <w:ilvl w:val="0"/>
          <w:numId w:val="1014"/>
        </w:numPr>
      </w:pPr>
      <w:r>
        <w:t xml:space="preserve">WHO Health Topics: Malnutrition – includes</w:t>
      </w:r>
      <w:r>
        <w:t xml:space="preserve"> </w:t>
      </w:r>
      <w:r>
        <w:rPr>
          <w:i/>
          <w:iCs/>
        </w:rPr>
        <w:t xml:space="preserve">“impaired nutrient utilization”</w:t>
      </w:r>
      <w:r>
        <w:t xml:space="preserve"> </w:t>
      </w:r>
      <w:r>
        <w:t xml:space="preserve">in the definition of malnutrition</w:t>
      </w:r>
      <w:hyperlink r:id="rId27">
        <w:r>
          <w:rPr>
            <w:rStyle w:val="Hyperlink"/>
          </w:rPr>
          <w:t xml:space="preserve">[7]</w:t>
        </w:r>
      </w:hyperlink>
      <w:r>
        <w:t xml:space="preserve">, acknowledging the concept at a high level.</w:t>
      </w:r>
    </w:p>
    <w:bookmarkEnd w:id="69"/>
    <w:bookmarkEnd w:id="70"/>
    <w:bookmarkEnd w:id="71"/>
    <w:p>
      <w:r>
        <w:pict>
          <v:rect style="width:0;height:1.5pt" o:hralign="center" o:hrstd="t" o:hr="t"/>
        </w:pict>
      </w:r>
    </w:p>
    <w:bookmarkStart w:id="8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47">
        <w:r>
          <w:rPr>
            <w:rStyle w:val="Hyperlink"/>
          </w:rPr>
          <w:t xml:space="preserve">[25]</w:t>
        </w:r>
      </w:hyperlink>
      <w:r>
        <w:t xml:space="preserve"> </w:t>
      </w:r>
      <w:r>
        <w:t xml:space="preserve"> </w:t>
      </w:r>
      <w:r>
        <w:t xml:space="preserve">Detection of functional vitamin B12 and folate deficiencies, while serum levels are normal - PMC</w:t>
      </w:r>
      <w:r>
        <w:t xml:space="preserve"> </w:t>
      </w:r>
    </w:p>
    <w:p>
      <w:pPr>
        <w:pStyle w:val="BodyText"/>
      </w:pPr>
      <w:hyperlink r:id="rId72">
        <w:r>
          <w:rPr>
            <w:rStyle w:val="Hyperlink"/>
          </w:rPr>
          <w:t xml:space="preserve">https://pmc.ncbi.nlm.nih.gov/articles/PMC3934218/</w:t>
        </w:r>
      </w:hyperlink>
    </w:p>
    <w:p>
      <w:pPr>
        <w:pStyle w:val="BodyText"/>
      </w:pPr>
      <w:hyperlink r:id="rId24">
        <w:r>
          <w:rPr>
            <w:rStyle w:val="Hyperlink"/>
          </w:rPr>
          <w:t xml:space="preserve">[4]</w:t>
        </w:r>
      </w:hyperlink>
      <w:r>
        <w:t xml:space="preserve"> </w:t>
      </w:r>
      <w:r>
        <w:t xml:space="preserve">Leucovorin and Autism: What the Research Really Shows — Neurodiverse City</w:t>
      </w:r>
    </w:p>
    <w:p>
      <w:pPr>
        <w:pStyle w:val="BodyText"/>
      </w:pPr>
      <w:hyperlink r:id="rId73">
        <w:r>
          <w:rPr>
            <w:rStyle w:val="Hyperlink"/>
          </w:rPr>
          <w:t xml:space="preserve">https://www.neurodiversecity.net/blog/leucovorin-and-autism-what-the-research-really-shows</w:t>
        </w:r>
      </w:hyperlink>
    </w:p>
    <w:p>
      <w:pPr>
        <w:pStyle w:val="BodyText"/>
      </w:pPr>
      <w:hyperlink r:id="rId25">
        <w:r>
          <w:rPr>
            <w:rStyle w:val="Hyperlink"/>
          </w:rPr>
          <w:t xml:space="preserve">[5]</w:t>
        </w:r>
      </w:hyperlink>
      <w:r>
        <w:t xml:space="preserve"> </w:t>
      </w:r>
      <w:hyperlink r:id="rId25">
        <w:r>
          <w:rPr>
            <w:rStyle w:val="Hyperlink"/>
          </w:rPr>
          <w:t xml:space="preserve">[8]</w:t>
        </w:r>
      </w:hyperlink>
      <w:r>
        <w:t xml:space="preserve"> </w:t>
      </w:r>
      <w:r>
        <w:t xml:space="preserve">Thyroid hormone resistance - Wikipedia</w:t>
      </w:r>
    </w:p>
    <w:p>
      <w:pPr>
        <w:pStyle w:val="BodyText"/>
      </w:pPr>
      <w:hyperlink r:id="rId74">
        <w:r>
          <w:rPr>
            <w:rStyle w:val="Hyperlink"/>
          </w:rPr>
          <w:t xml:space="preserve">https://en.wikipedia.org/wiki/Thyroid_hormone_resistance</w:t>
        </w:r>
      </w:hyperlink>
    </w:p>
    <w:p>
      <w:pPr>
        <w:pStyle w:val="BodyText"/>
      </w:pPr>
      <w:hyperlink r:id="rId26">
        <w:r>
          <w:rPr>
            <w:rStyle w:val="Hyperlink"/>
          </w:rPr>
          <w:t xml:space="preserve">[6]</w:t>
        </w:r>
      </w:hyperlink>
      <w:r>
        <w:t xml:space="preserve"> </w:t>
      </w:r>
      <w:r>
        <w:t xml:space="preserve">Vitamin D Deficiency - StatPearls - NCBI Bookshelf</w:t>
      </w:r>
    </w:p>
    <w:p>
      <w:pPr>
        <w:pStyle w:val="BodyText"/>
      </w:pPr>
      <w:hyperlink r:id="rId75">
        <w:r>
          <w:rPr>
            <w:rStyle w:val="Hyperlink"/>
          </w:rPr>
          <w:t xml:space="preserve">https://www.ncbi.nlm.nih.gov/books/NBK532266/</w:t>
        </w:r>
      </w:hyperlink>
    </w:p>
    <w:p>
      <w:pPr>
        <w:pStyle w:val="BodyText"/>
      </w:pPr>
      <w:hyperlink r:id="rId27">
        <w:r>
          <w:rPr>
            <w:rStyle w:val="Hyperlink"/>
          </w:rPr>
          <w:t xml:space="preserve">[7]</w:t>
        </w:r>
      </w:hyperlink>
      <w:r>
        <w:t xml:space="preserve"> </w:t>
      </w:r>
      <w:r>
        <w:t xml:space="preserve"> </w:t>
      </w:r>
      <w:r>
        <w:t xml:space="preserve">Malnutrition</w:t>
      </w:r>
      <w:r>
        <w:t xml:space="preserve"> </w:t>
      </w:r>
    </w:p>
    <w:p>
      <w:pPr>
        <w:pStyle w:val="BodyText"/>
      </w:pPr>
      <w:hyperlink r:id="rId76">
        <w:r>
          <w:rPr>
            <w:rStyle w:val="Hyperlink"/>
          </w:rPr>
          <w:t xml:space="preserve">https://www.who.int/health-topics/malnutrition</w:t>
        </w:r>
      </w:hyperlink>
    </w:p>
    <w:p>
      <w:pPr>
        <w:pStyle w:val="BodyText"/>
      </w:pPr>
      <w:hyperlink r:id="rId30">
        <w:r>
          <w:rPr>
            <w:rStyle w:val="Hyperlink"/>
          </w:rPr>
          <w:t xml:space="preserve">[9]</w:t>
        </w:r>
      </w:hyperlink>
      <w:r>
        <w:t xml:space="preserve"> </w:t>
      </w:r>
      <w:r>
        <w:t xml:space="preserve">Cerebral folate deficiency - MedLink Neurology</w:t>
      </w:r>
    </w:p>
    <w:p>
      <w:pPr>
        <w:pStyle w:val="BodyText"/>
      </w:pPr>
      <w:hyperlink r:id="rId77">
        <w:r>
          <w:rPr>
            <w:rStyle w:val="Hyperlink"/>
          </w:rPr>
          <w:t xml:space="preserve">https://www.medlink.com/articles/cerebral-folate-deficiency</w:t>
        </w:r>
      </w:hyperlink>
    </w:p>
    <w:p>
      <w:pPr>
        <w:pStyle w:val="BodyText"/>
      </w:pPr>
      <w:hyperlink r:id="rId31">
        <w:r>
          <w:rPr>
            <w:rStyle w:val="Hyperlink"/>
          </w:rPr>
          <w:t xml:space="preserve">[10]</w:t>
        </w:r>
      </w:hyperlink>
      <w:r>
        <w:t xml:space="preserve"> </w:t>
      </w:r>
      <w:r>
        <w:t xml:space="preserve">Limited Improvement: Others note modest gains, such as ... - Facebook</w:t>
      </w:r>
    </w:p>
    <w:p>
      <w:pPr>
        <w:pStyle w:val="BodyText"/>
      </w:pPr>
      <w:hyperlink r:id="rId78">
        <w:r>
          <w:rPr>
            <w:rStyle w:val="Hyperlink"/>
          </w:rPr>
          <w:t xml:space="preserve">https://www.facebook.com/groups/autismbangladesh/posts/24494556333538310/</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2">
        <w:r>
          <w:rPr>
            <w:rStyle w:val="Hyperlink"/>
          </w:rPr>
          <w:t xml:space="preserve">[16]</w:t>
        </w:r>
      </w:hyperlink>
      <w:r>
        <w:t xml:space="preserve"> </w:t>
      </w:r>
      <w:hyperlink r:id="rId48">
        <w:r>
          <w:rPr>
            <w:rStyle w:val="Hyperlink"/>
          </w:rPr>
          <w:t xml:space="preserve">[26]</w:t>
        </w:r>
      </w:hyperlink>
      <w:r>
        <w:t xml:space="preserve"> </w:t>
      </w:r>
      <w:r>
        <w:t xml:space="preserve">Pernicious Anaemia and B12 Deficiency | Doctor</w:t>
      </w:r>
    </w:p>
    <w:p>
      <w:pPr>
        <w:pStyle w:val="BodyText"/>
      </w:pPr>
      <w:hyperlink r:id="rId79">
        <w:r>
          <w:rPr>
            <w:rStyle w:val="Hyperlink"/>
          </w:rPr>
          <w:t xml:space="preserve">https://patient.info/doctor/haematology/pernicious-anaemia-and-b12-deficiency</w:t>
        </w:r>
      </w:hyperlink>
    </w:p>
    <w:p>
      <w:pPr>
        <w:pStyle w:val="BodyText"/>
      </w:pPr>
      <w:hyperlink r:id="rId35">
        <w:r>
          <w:rPr>
            <w:rStyle w:val="Hyperlink"/>
          </w:rPr>
          <w:t xml:space="preserve">[13]</w:t>
        </w:r>
      </w:hyperlink>
      <w:r>
        <w:t xml:space="preserve"> </w:t>
      </w:r>
      <w:r>
        <w:t xml:space="preserve">Cerebral Folate Transport Deficiency - Metabolic Support UK</w:t>
      </w:r>
    </w:p>
    <w:p>
      <w:pPr>
        <w:pStyle w:val="BodyText"/>
      </w:pPr>
      <w:hyperlink r:id="rId80">
        <w:r>
          <w:rPr>
            <w:rStyle w:val="Hyperlink"/>
          </w:rPr>
          <w:t xml:space="preserve">https://metabolicsupportuk.org/condition/cerebral-folate-transport-deficiency/</w:t>
        </w:r>
      </w:hyperlink>
    </w:p>
    <w:p>
      <w:pPr>
        <w:pStyle w:val="BodyText"/>
      </w:pPr>
      <w:hyperlink r:id="rId36">
        <w:r>
          <w:rPr>
            <w:rStyle w:val="Hyperlink"/>
          </w:rPr>
          <w:t xml:space="preserve">[14]</w:t>
        </w:r>
      </w:hyperlink>
      <w:r>
        <w:t xml:space="preserve"> </w:t>
      </w:r>
      <w:hyperlink r:id="rId37">
        <w:r>
          <w:rPr>
            <w:rStyle w:val="Hyperlink"/>
          </w:rPr>
          <w:t xml:space="preserve">[15]</w:t>
        </w:r>
      </w:hyperlink>
      <w:r>
        <w:t xml:space="preserve"> </w:t>
      </w:r>
      <w:r>
        <w:t xml:space="preserve">Monocarboxylate transporter 8 - Wikipedia</w:t>
      </w:r>
    </w:p>
    <w:p>
      <w:pPr>
        <w:pStyle w:val="BodyText"/>
      </w:pPr>
      <w:hyperlink r:id="rId81">
        <w:r>
          <w:rPr>
            <w:rStyle w:val="Hyperlink"/>
          </w:rPr>
          <w:t xml:space="preserve">https://en.wikipedia.org/wiki/Monocarboxylate_transporter_8</w:t>
        </w:r>
      </w:hyperlink>
    </w:p>
    <w:p>
      <w:pPr>
        <w:pStyle w:val="BodyText"/>
      </w:pPr>
      <w:hyperlink r:id="rId38">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3">
        <w:r>
          <w:rPr>
            <w:rStyle w:val="Hyperlink"/>
          </w:rPr>
          <w:t xml:space="preserve">[22]</w:t>
        </w:r>
      </w:hyperlink>
      <w:r>
        <w:t xml:space="preserve"> </w:t>
      </w:r>
      <w:hyperlink r:id="rId38">
        <w:r>
          <w:rPr>
            <w:rStyle w:val="Hyperlink"/>
          </w:rPr>
          <w:t xml:space="preserve">[23]</w:t>
        </w:r>
      </w:hyperlink>
      <w:r>
        <w:t xml:space="preserve"> </w:t>
      </w:r>
      <w:r>
        <w:t xml:space="preserve">Key Takeaways • The Blood Project</w:t>
      </w:r>
    </w:p>
    <w:p>
      <w:pPr>
        <w:pStyle w:val="BodyText"/>
      </w:pPr>
      <w:hyperlink r:id="rId82">
        <w:r>
          <w:rPr>
            <w:rStyle w:val="Hyperlink"/>
          </w:rPr>
          <w:t xml:space="preserve">https://www.thebloodproject.com/cases-archive/iron-and-ckd/takeaways/</w:t>
        </w:r>
      </w:hyperlink>
    </w:p>
    <w:p>
      <w:pPr>
        <w:pStyle w:val="BodyText"/>
      </w:pPr>
      <w:hyperlink r:id="rId41">
        <w:r>
          <w:rPr>
            <w:rStyle w:val="Hyperlink"/>
          </w:rPr>
          <w:t xml:space="preserve">[20]</w:t>
        </w:r>
      </w:hyperlink>
      <w:r>
        <w:t xml:space="preserve"> </w:t>
      </w:r>
      <w:hyperlink r:id="rId42">
        <w:r>
          <w:rPr>
            <w:rStyle w:val="Hyperlink"/>
          </w:rPr>
          <w:t xml:space="preserve">[21]</w:t>
        </w:r>
      </w:hyperlink>
      <w:r>
        <w:t xml:space="preserve"> </w:t>
      </w:r>
      <w:r>
        <w:t xml:space="preserve">Functional thiamine deficiency in end-stage renal disease: malnutrition despite ample nutrients - ScienceDirect</w:t>
      </w:r>
    </w:p>
    <w:p>
      <w:pPr>
        <w:pStyle w:val="BodyText"/>
      </w:pPr>
      <w:hyperlink r:id="rId83">
        <w:r>
          <w:rPr>
            <w:rStyle w:val="Hyperlink"/>
          </w:rPr>
          <w:t xml:space="preserve">https://www.sciencedirect.com/science/article/pii/S0085253816301788</w:t>
        </w:r>
      </w:hyperlink>
    </w:p>
    <w:p>
      <w:pPr>
        <w:pStyle w:val="BodyText"/>
      </w:pPr>
      <w:hyperlink r:id="rId44">
        <w:r>
          <w:rPr>
            <w:rStyle w:val="Hyperlink"/>
          </w:rPr>
          <w:t xml:space="preserve">[24]</w:t>
        </w:r>
      </w:hyperlink>
      <w:r>
        <w:t xml:space="preserve"> </w:t>
      </w:r>
      <w:r>
        <w:t xml:space="preserve">Interpretation of the Serum Magnesium Level - CHEST Journal</w:t>
      </w:r>
    </w:p>
    <w:p>
      <w:pPr>
        <w:pStyle w:val="BodyText"/>
      </w:pPr>
      <w:hyperlink r:id="rId84">
        <w:r>
          <w:rPr>
            <w:rStyle w:val="Hyperlink"/>
          </w:rPr>
          <w:t xml:space="preserve">https://journal.chestnet.org/article/S0012-3692(16)33270-6/fulltext</w:t>
        </w:r>
      </w:hyperlink>
    </w:p>
    <w:p>
      <w:pPr>
        <w:pStyle w:val="BodyText"/>
      </w:pPr>
      <w:hyperlink r:id="rId50">
        <w:r>
          <w:rPr>
            <w:rStyle w:val="Hyperlink"/>
          </w:rPr>
          <w:t xml:space="preserve">[27]</w:t>
        </w:r>
      </w:hyperlink>
      <w:r>
        <w:t xml:space="preserve"> </w:t>
      </w:r>
      <w:r>
        <w:t xml:space="preserve">Proposal to move 129453003 |Deficiency of (attribute)| from unapproved to approved - Page 2 - Briefing Notes - SNOMED Forums</w:t>
      </w:r>
    </w:p>
    <w:p>
      <w:pPr>
        <w:pStyle w:val="BodyText"/>
      </w:pPr>
      <w:hyperlink r:id="rId85">
        <w:r>
          <w:rPr>
            <w:rStyle w:val="Hyperlink"/>
          </w:rPr>
          <w:t xml:space="preserve">https://forums.snomed.org/t/proposal-to-move-129453003-deficiency-of-attribute-from-unapproved-to-approved/678?page=2</w:t>
        </w:r>
      </w:hyperlink>
    </w:p>
    <w:p>
      <w:pPr>
        <w:pStyle w:val="BodyText"/>
      </w:pPr>
      <w:hyperlink r:id="rId51">
        <w:r>
          <w:rPr>
            <w:rStyle w:val="Hyperlink"/>
          </w:rPr>
          <w:t xml:space="preserve">[28]</w:t>
        </w:r>
      </w:hyperlink>
      <w:r>
        <w:t xml:space="preserve"> </w:t>
      </w:r>
      <w:r>
        <w:t xml:space="preserve">[PDF] NUTRITION DIAGNOSES - Most Common – Outpatient - CSUN</w:t>
      </w:r>
    </w:p>
    <w:p>
      <w:pPr>
        <w:pStyle w:val="BodyText"/>
      </w:pPr>
      <w:hyperlink r:id="rId86">
        <w:r>
          <w:rPr>
            <w:rStyle w:val="Hyperlink"/>
          </w:rPr>
          <w:t xml:space="preserve">http://www.csun.edu/~lisagor/Spring%202018/S18%20494/NCP%20Outpatient%20diagnosis%20made%20easier.pdf</w:t>
        </w:r>
      </w:hyperlink>
    </w:p>
    <w:p>
      <w:pPr>
        <w:pStyle w:val="BodyText"/>
      </w:pPr>
      <w:hyperlink r:id="rId52">
        <w:r>
          <w:rPr>
            <w:rStyle w:val="Hyperlink"/>
          </w:rPr>
          <w:t xml:space="preserve">[29]</w:t>
        </w:r>
      </w:hyperlink>
      <w:r>
        <w:t xml:space="preserve"> </w:t>
      </w:r>
      <w:hyperlink r:id="rId53">
        <w:r>
          <w:rPr>
            <w:rStyle w:val="Hyperlink"/>
          </w:rPr>
          <w:t xml:space="preserve">[30]</w:t>
        </w:r>
      </w:hyperlink>
      <w:r>
        <w:t xml:space="preserve"> </w:t>
      </w:r>
      <w:hyperlink r:id="rId62">
        <w:r>
          <w:rPr>
            <w:rStyle w:val="Hyperlink"/>
          </w:rPr>
          <w:t xml:space="preserve">[33]</w:t>
        </w:r>
      </w:hyperlink>
      <w:r>
        <w:t xml:space="preserve"> </w:t>
      </w:r>
      <w:hyperlink r:id="rId66">
        <w:r>
          <w:rPr>
            <w:rStyle w:val="Hyperlink"/>
          </w:rPr>
          <w:t xml:space="preserve">[37]</w:t>
        </w:r>
      </w:hyperlink>
      <w:r>
        <w:t xml:space="preserve"> </w:t>
      </w:r>
      <w:hyperlink r:id="rId67">
        <w:r>
          <w:rPr>
            <w:rStyle w:val="Hyperlink"/>
          </w:rPr>
          <w:t xml:space="preserve">[38]</w:t>
        </w:r>
      </w:hyperlink>
      <w:r>
        <w:t xml:space="preserve"> </w:t>
      </w:r>
      <w:r>
        <w:t xml:space="preserve">Cannon_V5.2_Complete All Modules.md</w:t>
      </w:r>
    </w:p>
    <w:p>
      <w:pPr>
        <w:pStyle w:val="BodyText"/>
      </w:pPr>
      <w:hyperlink r:id="rId87">
        <w:r>
          <w:rPr>
            <w:rStyle w:val="Hyperlink"/>
          </w:rPr>
          <w:t xml:space="preserve">file://file-4rx6egAoT1Dd28vKFhwB63</w:t>
        </w:r>
      </w:hyperlink>
    </w:p>
    <w:p>
      <w:pPr>
        <w:pStyle w:val="BodyText"/>
      </w:pPr>
      <w:hyperlink r:id="rId54">
        <w:r>
          <w:rPr>
            <w:rStyle w:val="Hyperlink"/>
          </w:rPr>
          <w:t xml:space="preserve">[31]</w:t>
        </w:r>
      </w:hyperlink>
      <w:r>
        <w:t xml:space="preserve"> </w:t>
      </w:r>
      <w:hyperlink r:id="rId55">
        <w:r>
          <w:rPr>
            <w:rStyle w:val="Hyperlink"/>
          </w:rPr>
          <w:t xml:space="preserve">[32]</w:t>
        </w:r>
      </w:hyperlink>
      <w:r>
        <w:t xml:space="preserve"> </w:t>
      </w:r>
      <w:hyperlink r:id="rId63">
        <w:r>
          <w:rPr>
            <w:rStyle w:val="Hyperlink"/>
          </w:rPr>
          <w:t xml:space="preserve">[34]</w:t>
        </w:r>
      </w:hyperlink>
      <w:r>
        <w:t xml:space="preserve"> </w:t>
      </w:r>
      <w:hyperlink r:id="rId64">
        <w:r>
          <w:rPr>
            <w:rStyle w:val="Hyperlink"/>
          </w:rPr>
          <w:t xml:space="preserve">[35]</w:t>
        </w:r>
      </w:hyperlink>
      <w:r>
        <w:t xml:space="preserve"> </w:t>
      </w:r>
      <w:hyperlink r:id="rId65">
        <w:r>
          <w:rPr>
            <w:rStyle w:val="Hyperlink"/>
          </w:rPr>
          <w:t xml:space="preserve">[36]</w:t>
        </w:r>
      </w:hyperlink>
      <w:r>
        <w:t xml:space="preserve"> </w:t>
      </w:r>
      <w:r>
        <w:t xml:space="preserve">V6 M62 - Orbit Mode ↔ EoH Clinical Governance Handshake (OM↔CGH).md</w:t>
      </w:r>
    </w:p>
    <w:p>
      <w:pPr>
        <w:pStyle w:val="BodyText"/>
      </w:pPr>
      <w:hyperlink r:id="rId88">
        <w:r>
          <w:rPr>
            <w:rStyle w:val="Hyperlink"/>
          </w:rPr>
          <w:t xml:space="preserve">file://file-ToZowQq5T7q1i9ndT9ob7L</w:t>
        </w:r>
      </w:hyperlink>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7" Target="file://file-4rx6egAoT1Dd28vKFhwB63" TargetMode="External" /><Relationship Type="http://schemas.openxmlformats.org/officeDocument/2006/relationships/hyperlink" Id="rId52" Target="file://file-4rx6egAoT1Dd28vKFhwB63#:~:text=%5C%2A%20False,and%20drift%20flagging" TargetMode="External" /><Relationship Type="http://schemas.openxmlformats.org/officeDocument/2006/relationships/hyperlink" Id="rId67" Target="file://file-4rx6egAoT1Dd28vKFhwB63#:~:text=%5C,appendices%20for%20governance%20and%20representation" TargetMode="External" /><Relationship Type="http://schemas.openxmlformats.org/officeDocument/2006/relationships/hyperlink" Id="rId66" Target="file://file-4rx6egAoT1Dd28vKFhwB63#:~:text=0%E2%80%935.%206,appendices%20for%20governance%20and%20representation" TargetMode="External" /><Relationship Type="http://schemas.openxmlformats.org/officeDocument/2006/relationships/hyperlink" Id="rId62" Target="file://file-4rx6egAoT1Dd28vKFhwB63#:~:text=3%5C.%20%5C%2A%5C%2AFalse,Pain%2C%20Symbolic%20Flare%2C%20Lab%20Error" TargetMode="External" /><Relationship Type="http://schemas.openxmlformats.org/officeDocument/2006/relationships/hyperlink" Id="rId53" Target="file://file-4rx6egAoT1Dd28vKFhwB63#:~:text=4,pauseFlag" TargetMode="External" /><Relationship Type="http://schemas.openxmlformats.org/officeDocument/2006/relationships/hyperlink" Id="rId88" Target="file://file-ToZowQq5T7q1i9ndT9ob7L" TargetMode="External" /><Relationship Type="http://schemas.openxmlformats.org/officeDocument/2006/relationships/hyperlink" Id="rId55" Target="file://file-ToZowQq5T7q1i9ndT9ob7L#:~:text=%5C,certainty%20inflation%E2%80%9D%20constraints" TargetMode="External" /><Relationship Type="http://schemas.openxmlformats.org/officeDocument/2006/relationships/hyperlink" Id="rId63" Target="file://file-ToZowQq5T7q1i9ndT9ob7L#:~:text=%5C,refusal%20outcomes%20or%20safety%20posture" TargetMode="External" /><Relationship Type="http://schemas.openxmlformats.org/officeDocument/2006/relationships/hyperlink" Id="rId64" Target="file://file-ToZowQq5T7q1i9ndT9ob7L#:~:text=%5C,suppression" TargetMode="External" /><Relationship Type="http://schemas.openxmlformats.org/officeDocument/2006/relationships/hyperlink" Id="rId65" Target="file://file-ToZowQq5T7q1i9ndT9ob7L#:~:text=," TargetMode="External" /><Relationship Type="http://schemas.openxmlformats.org/officeDocument/2006/relationships/hyperlink" Id="rId54" Target="file://file-ToZowQq5T7q1i9ndT9ob7L#:~:text=EoH%20%5C,of" TargetMode="External" /><Relationship Type="http://schemas.openxmlformats.org/officeDocument/2006/relationships/hyperlink" Id="rId86" Target="http://www.csun.edu/~lisagor/Spring%202018/S18%20494/NCP%20Outpatient%20diagnosis%20made%20easier.pdf" TargetMode="External" /><Relationship Type="http://schemas.openxmlformats.org/officeDocument/2006/relationships/hyperlink" Id="rId51" Target="http://www.csun.edu/~lisagor/Spring%202018/S18%20494/NCP%20Outpatient%20diagnosis%20made%20easier.pdf#:~:text=%5BPDF%5D%20NUTRITION%20DIAGNOSES%20,of%20related%20GI%20organs" TargetMode="External" /><Relationship Type="http://schemas.openxmlformats.org/officeDocument/2006/relationships/hyperlink" Id="rId81" Target="https://en.wikipedia.org/wiki/Monocarboxylate_transporter_8" TargetMode="External" /><Relationship Type="http://schemas.openxmlformats.org/officeDocument/2006/relationships/hyperlink" Id="rId36" Target="https://en.wikipedia.org/wiki/Monocarboxylate_transporter_8#:~:text=milestones%29,pattern%20similar%20to%20%20113" TargetMode="External" /><Relationship Type="http://schemas.openxmlformats.org/officeDocument/2006/relationships/hyperlink" Id="rId37" Target="https://en.wikipedia.org/wiki/Monocarboxylate_transporter_8#:~:text=mutated%20in%20cases%20of%20X,have%20an%20alert%20face%2C%20a" TargetMode="External" /><Relationship Type="http://schemas.openxmlformats.org/officeDocument/2006/relationships/hyperlink" Id="rId74" Target="https://en.wikipedia.org/wiki/Thyroid_hormone_resistance" TargetMode="External" /><Relationship Type="http://schemas.openxmlformats.org/officeDocument/2006/relationships/hyperlink" Id="rId25" Target="https://en.wikipedia.org/wiki/Thyroid_hormone_resistance#:~:text=Thyroid%20hormone%20resistance%20,3" TargetMode="External" /><Relationship Type="http://schemas.openxmlformats.org/officeDocument/2006/relationships/hyperlink" Id="rId85" Target="https://forums.snomed.org/t/proposal-to-move-129453003-deficiency-of-attribute-from-unapproved-to-approved/678?page=2" TargetMode="External" /><Relationship Type="http://schemas.openxmlformats.org/officeDocument/2006/relationships/hyperlink" Id="rId50" Target="https://forums.snomed.org/t/proposal-to-move-129453003-deficiency-of-attribute-from-unapproved-to-approved/678?page=2#:~:text=instead%20be%20made%20explicit%20in,if%20%E2%80%9Cdeficiency%20of%E2%80%9D%20was%20used" TargetMode="External" /><Relationship Type="http://schemas.openxmlformats.org/officeDocument/2006/relationships/hyperlink" Id="rId84" Target="https://journal.chestnet.org/article/S0012-3692(16)33270-6/fulltext" TargetMode="External" /><Relationship Type="http://schemas.openxmlformats.org/officeDocument/2006/relationships/hyperlink" Id="rId44" Target="https://journal.chestnet.org/article/S0012-3692(16)33270-6/fulltext#:~:text=Interpretation%20of%20the%20Serum%20Magnesium,with%20normal%20serum%20magnesium%20levels" TargetMode="External" /><Relationship Type="http://schemas.openxmlformats.org/officeDocument/2006/relationships/hyperlink" Id="rId80" Target="https://metabolicsupportuk.org/condition/cerebral-folate-transport-deficiency/" TargetMode="External" /><Relationship Type="http://schemas.openxmlformats.org/officeDocument/2006/relationships/hyperlink" Id="rId35" Target="https://metabolicsupportuk.org/condition/cerebral-folate-transport-deficiency/#:~:text=UK%20metabolicsupportuk,a%20receptor%20protein%20for%20folate" TargetMode="External" /><Relationship Type="http://schemas.openxmlformats.org/officeDocument/2006/relationships/hyperlink" Id="rId79" Target="https://patient.info/doctor/haematology/pernicious-anaemia-and-b12-deficiency" TargetMode="External" /><Relationship Type="http://schemas.openxmlformats.org/officeDocument/2006/relationships/hyperlink" Id="rId32" Target="https://patient.info/doctor/haematology/pernicious-anaemia-and-b12-deficiency#:~:text=,5" TargetMode="External" /><Relationship Type="http://schemas.openxmlformats.org/officeDocument/2006/relationships/hyperlink" Id="rId48" Target="https://patient.info/doctor/haematology/pernicious-anaemia-and-b12-deficiency#:~:text=holotranscobalamin,for%20unless" TargetMode="External" /><Relationship Type="http://schemas.openxmlformats.org/officeDocument/2006/relationships/hyperlink" Id="rId33" Target="https://patient.info/doctor/haematology/pernicious-anaemia-and-b12-deficiency#:~:text=spinal%20cord%20may%20occur%20despite,5" TargetMode="External" /><Relationship Type="http://schemas.openxmlformats.org/officeDocument/2006/relationships/hyperlink" Id="rId72" Target="https://pmc.ncbi.nlm.nih.gov/articles/PMC3934218/" TargetMode="External" /><Relationship Type="http://schemas.openxmlformats.org/officeDocument/2006/relationships/hyperlink" Id="rId21" Target="https://pmc.ncbi.nlm.nih.gov/articles/PMC3934218/#:~:text=better%20approach%20for%20the%20assessment,could%2C%20therefore%2C%20be%20a%20complementary" TargetMode="External" /><Relationship Type="http://schemas.openxmlformats.org/officeDocument/2006/relationships/hyperlink" Id="rId47" Target="https://pmc.ncbi.nlm.nih.gov/articles/PMC3934218/#:~:text=recommended%20in%20the%20diagnosis%20of,tissue%20levels%20or%20a%20functional" TargetMode="External" /><Relationship Type="http://schemas.openxmlformats.org/officeDocument/2006/relationships/hyperlink" Id="rId22" Target="https://pmc.ncbi.nlm.nih.gov/articles/PMC3934218/#:~:text=vitamin%20B12%20metabolism%20could%20be,In" TargetMode="External" /><Relationship Type="http://schemas.openxmlformats.org/officeDocument/2006/relationships/hyperlink" Id="rId23" Target="https://pmc.ncbi.nlm.nih.gov/articles/PMC3934218/#:~:text=vitamin%20B12%20metabolism%20could%20be,megaloblastic%20anemia%20could%20be%20further" TargetMode="External" /><Relationship Type="http://schemas.openxmlformats.org/officeDocument/2006/relationships/hyperlink" Id="rId78" Target="https://www.facebook.com/groups/autismbangladesh/posts/24494556333538310/" TargetMode="External" /><Relationship Type="http://schemas.openxmlformats.org/officeDocument/2006/relationships/hyperlink" Id="rId31" Target="https://www.facebook.com/groups/autismbangladesh/posts/24494556333538310/#:~:text=Limited%20Improvement%3A%20Others%20note%20modest,bypasses%20these%20blocked%20receptors" TargetMode="External" /><Relationship Type="http://schemas.openxmlformats.org/officeDocument/2006/relationships/hyperlink" Id="rId77" Target="https://www.medlink.com/articles/cerebral-folate-deficiency" TargetMode="External" /><Relationship Type="http://schemas.openxmlformats.org/officeDocument/2006/relationships/hyperlink" Id="rId30" Target="https://www.medlink.com/articles/cerebral-folate-deficiency#:~:text=Cerebral%20folate%20deficiency%20,and%20autistic%20features%20due%20to%E2%80%A6" TargetMode="External" /><Relationship Type="http://schemas.openxmlformats.org/officeDocument/2006/relationships/hyperlink" Id="rId75" Target="https://www.ncbi.nlm.nih.gov/books/NBK532266/" TargetMode="External" /><Relationship Type="http://schemas.openxmlformats.org/officeDocument/2006/relationships/hyperlink" Id="rId26" Target="https://www.ncbi.nlm.nih.gov/books/NBK532266/#:~:text=vitamin%20D%20into%20inactive%20metabolites." TargetMode="External" /><Relationship Type="http://schemas.openxmlformats.org/officeDocument/2006/relationships/hyperlink" Id="rId73" Target="https://www.neurodiversecity.net/blog/leucovorin-and-autism-what-the-research-really-shows" TargetMode="External" /><Relationship Type="http://schemas.openxmlformats.org/officeDocument/2006/relationships/hyperlink" Id="rId24" Target="https://www.neurodiversecity.net/blog/leucovorin-and-autism-what-the-research-really-shows#:~:text=,levels%20despite%20normal%20blood%20folate" TargetMode="External" /><Relationship Type="http://schemas.openxmlformats.org/officeDocument/2006/relationships/hyperlink" Id="rId83" Target="https://www.sciencedirect.com/science/article/pii/S0085253816301788" TargetMode="External" /><Relationship Type="http://schemas.openxmlformats.org/officeDocument/2006/relationships/hyperlink" Id="rId41" Target="https://www.sciencedirect.com/science/article/pii/S0085253816301788#:~:text=Zhang%20et%C2%A0al,generation%20of%20this%20antithiamine%20metabolite" TargetMode="External" /><Relationship Type="http://schemas.openxmlformats.org/officeDocument/2006/relationships/hyperlink" Id="rId42" Target="https://www.sciencedirect.com/science/article/pii/S0085253816301788#:~:text=oxythiamine%20are%20significantly%20increased%20in,generation%20of%20this%20antithiamine%20metabolite" TargetMode="External" /><Relationship Type="http://schemas.openxmlformats.org/officeDocument/2006/relationships/hyperlink" Id="rId82" Target="https://www.thebloodproject.com/cases-archive/iron-and-ckd/takeaways/" TargetMode="External" /><Relationship Type="http://schemas.openxmlformats.org/officeDocument/2006/relationships/hyperlink" Id="rId39" Target="https://www.thebloodproject.com/cases-archive/iron-and-ckd/takeaways/#:~:text=%E2%9C%85%20Most%20CKD%20patients%20with,of%20iron%20to%20developing%20erythrocytes" TargetMode="External" /><Relationship Type="http://schemas.openxmlformats.org/officeDocument/2006/relationships/hyperlink" Id="rId38" Target="https://www.thebloodproject.com/cases-archive/iron-and-ckd/takeaways/#:~:text=,20" TargetMode="External" /><Relationship Type="http://schemas.openxmlformats.org/officeDocument/2006/relationships/hyperlink" Id="rId43" Target="https://www.thebloodproject.com/cases-archive/iron-and-ckd/takeaways/#:~:text=,in%20sufficient%20quantities%20for%20erythropoiesis" TargetMode="External" /><Relationship Type="http://schemas.openxmlformats.org/officeDocument/2006/relationships/hyperlink" Id="rId76" Target="https://www.who.int/health-topics/malnutrition" TargetMode="External" /><Relationship Type="http://schemas.openxmlformats.org/officeDocument/2006/relationships/hyperlink" Id="rId27" Target="https://www.who.int/health-topics/malnutrition#:~:text=Malnutrition%20refers%20to%20deficiencies%20or,stunting%2C%20underweight%2C%20and%20micronutrient%20deficiencies" TargetMode="External" /></Relationships>
</file>

<file path=word/_rels/footnotes.xml.rels><?xml version="1.0" encoding="UTF-8"?><Relationships xmlns="http://schemas.openxmlformats.org/package/2006/relationships"><Relationship Type="http://schemas.openxmlformats.org/officeDocument/2006/relationships/hyperlink" Id="rId87" Target="file://file-4rx6egAoT1Dd28vKFhwB63" TargetMode="External" /><Relationship Type="http://schemas.openxmlformats.org/officeDocument/2006/relationships/hyperlink" Id="rId52" Target="file://file-4rx6egAoT1Dd28vKFhwB63#:~:text=%5C%2A%20False,and%20drift%20flagging" TargetMode="External" /><Relationship Type="http://schemas.openxmlformats.org/officeDocument/2006/relationships/hyperlink" Id="rId67" Target="file://file-4rx6egAoT1Dd28vKFhwB63#:~:text=%5C,appendices%20for%20governance%20and%20representation" TargetMode="External" /><Relationship Type="http://schemas.openxmlformats.org/officeDocument/2006/relationships/hyperlink" Id="rId66" Target="file://file-4rx6egAoT1Dd28vKFhwB63#:~:text=0%E2%80%935.%206,appendices%20for%20governance%20and%20representation" TargetMode="External" /><Relationship Type="http://schemas.openxmlformats.org/officeDocument/2006/relationships/hyperlink" Id="rId62" Target="file://file-4rx6egAoT1Dd28vKFhwB63#:~:text=3%5C.%20%5C%2A%5C%2AFalse,Pain%2C%20Symbolic%20Flare%2C%20Lab%20Error" TargetMode="External" /><Relationship Type="http://schemas.openxmlformats.org/officeDocument/2006/relationships/hyperlink" Id="rId53" Target="file://file-4rx6egAoT1Dd28vKFhwB63#:~:text=4,pauseFlag" TargetMode="External" /><Relationship Type="http://schemas.openxmlformats.org/officeDocument/2006/relationships/hyperlink" Id="rId88" Target="file://file-ToZowQq5T7q1i9ndT9ob7L" TargetMode="External" /><Relationship Type="http://schemas.openxmlformats.org/officeDocument/2006/relationships/hyperlink" Id="rId55" Target="file://file-ToZowQq5T7q1i9ndT9ob7L#:~:text=%5C,certainty%20inflation%E2%80%9D%20constraints" TargetMode="External" /><Relationship Type="http://schemas.openxmlformats.org/officeDocument/2006/relationships/hyperlink" Id="rId63" Target="file://file-ToZowQq5T7q1i9ndT9ob7L#:~:text=%5C,refusal%20outcomes%20or%20safety%20posture" TargetMode="External" /><Relationship Type="http://schemas.openxmlformats.org/officeDocument/2006/relationships/hyperlink" Id="rId64" Target="file://file-ToZowQq5T7q1i9ndT9ob7L#:~:text=%5C,suppression" TargetMode="External" /><Relationship Type="http://schemas.openxmlformats.org/officeDocument/2006/relationships/hyperlink" Id="rId65" Target="file://file-ToZowQq5T7q1i9ndT9ob7L#:~:text=," TargetMode="External" /><Relationship Type="http://schemas.openxmlformats.org/officeDocument/2006/relationships/hyperlink" Id="rId54" Target="file://file-ToZowQq5T7q1i9ndT9ob7L#:~:text=EoH%20%5C,of" TargetMode="External" /><Relationship Type="http://schemas.openxmlformats.org/officeDocument/2006/relationships/hyperlink" Id="rId86" Target="http://www.csun.edu/~lisagor/Spring%202018/S18%20494/NCP%20Outpatient%20diagnosis%20made%20easier.pdf" TargetMode="External" /><Relationship Type="http://schemas.openxmlformats.org/officeDocument/2006/relationships/hyperlink" Id="rId51" Target="http://www.csun.edu/~lisagor/Spring%202018/S18%20494/NCP%20Outpatient%20diagnosis%20made%20easier.pdf#:~:text=%5BPDF%5D%20NUTRITION%20DIAGNOSES%20,of%20related%20GI%20organs" TargetMode="External" /><Relationship Type="http://schemas.openxmlformats.org/officeDocument/2006/relationships/hyperlink" Id="rId81" Target="https://en.wikipedia.org/wiki/Monocarboxylate_transporter_8" TargetMode="External" /><Relationship Type="http://schemas.openxmlformats.org/officeDocument/2006/relationships/hyperlink" Id="rId36" Target="https://en.wikipedia.org/wiki/Monocarboxylate_transporter_8#:~:text=milestones%29,pattern%20similar%20to%20%20113" TargetMode="External" /><Relationship Type="http://schemas.openxmlformats.org/officeDocument/2006/relationships/hyperlink" Id="rId37" Target="https://en.wikipedia.org/wiki/Monocarboxylate_transporter_8#:~:text=mutated%20in%20cases%20of%20X,have%20an%20alert%20face%2C%20a" TargetMode="External" /><Relationship Type="http://schemas.openxmlformats.org/officeDocument/2006/relationships/hyperlink" Id="rId74" Target="https://en.wikipedia.org/wiki/Thyroid_hormone_resistance" TargetMode="External" /><Relationship Type="http://schemas.openxmlformats.org/officeDocument/2006/relationships/hyperlink" Id="rId25" Target="https://en.wikipedia.org/wiki/Thyroid_hormone_resistance#:~:text=Thyroid%20hormone%20resistance%20,3" TargetMode="External" /><Relationship Type="http://schemas.openxmlformats.org/officeDocument/2006/relationships/hyperlink" Id="rId85" Target="https://forums.snomed.org/t/proposal-to-move-129453003-deficiency-of-attribute-from-unapproved-to-approved/678?page=2" TargetMode="External" /><Relationship Type="http://schemas.openxmlformats.org/officeDocument/2006/relationships/hyperlink" Id="rId50" Target="https://forums.snomed.org/t/proposal-to-move-129453003-deficiency-of-attribute-from-unapproved-to-approved/678?page=2#:~:text=instead%20be%20made%20explicit%20in,if%20%E2%80%9Cdeficiency%20of%E2%80%9D%20was%20used" TargetMode="External" /><Relationship Type="http://schemas.openxmlformats.org/officeDocument/2006/relationships/hyperlink" Id="rId84" Target="https://journal.chestnet.org/article/S0012-3692(16)33270-6/fulltext" TargetMode="External" /><Relationship Type="http://schemas.openxmlformats.org/officeDocument/2006/relationships/hyperlink" Id="rId44" Target="https://journal.chestnet.org/article/S0012-3692(16)33270-6/fulltext#:~:text=Interpretation%20of%20the%20Serum%20Magnesium,with%20normal%20serum%20magnesium%20levels" TargetMode="External" /><Relationship Type="http://schemas.openxmlformats.org/officeDocument/2006/relationships/hyperlink" Id="rId80" Target="https://metabolicsupportuk.org/condition/cerebral-folate-transport-deficiency/" TargetMode="External" /><Relationship Type="http://schemas.openxmlformats.org/officeDocument/2006/relationships/hyperlink" Id="rId35" Target="https://metabolicsupportuk.org/condition/cerebral-folate-transport-deficiency/#:~:text=UK%20metabolicsupportuk,a%20receptor%20protein%20for%20folate" TargetMode="External" /><Relationship Type="http://schemas.openxmlformats.org/officeDocument/2006/relationships/hyperlink" Id="rId79" Target="https://patient.info/doctor/haematology/pernicious-anaemia-and-b12-deficiency" TargetMode="External" /><Relationship Type="http://schemas.openxmlformats.org/officeDocument/2006/relationships/hyperlink" Id="rId32" Target="https://patient.info/doctor/haematology/pernicious-anaemia-and-b12-deficiency#:~:text=,5" TargetMode="External" /><Relationship Type="http://schemas.openxmlformats.org/officeDocument/2006/relationships/hyperlink" Id="rId48" Target="https://patient.info/doctor/haematology/pernicious-anaemia-and-b12-deficiency#:~:text=holotranscobalamin,for%20unless" TargetMode="External" /><Relationship Type="http://schemas.openxmlformats.org/officeDocument/2006/relationships/hyperlink" Id="rId33" Target="https://patient.info/doctor/haematology/pernicious-anaemia-and-b12-deficiency#:~:text=spinal%20cord%20may%20occur%20despite,5" TargetMode="External" /><Relationship Type="http://schemas.openxmlformats.org/officeDocument/2006/relationships/hyperlink" Id="rId72" Target="https://pmc.ncbi.nlm.nih.gov/articles/PMC3934218/" TargetMode="External" /><Relationship Type="http://schemas.openxmlformats.org/officeDocument/2006/relationships/hyperlink" Id="rId21" Target="https://pmc.ncbi.nlm.nih.gov/articles/PMC3934218/#:~:text=better%20approach%20for%20the%20assessment,could%2C%20therefore%2C%20be%20a%20complementary" TargetMode="External" /><Relationship Type="http://schemas.openxmlformats.org/officeDocument/2006/relationships/hyperlink" Id="rId47" Target="https://pmc.ncbi.nlm.nih.gov/articles/PMC3934218/#:~:text=recommended%20in%20the%20diagnosis%20of,tissue%20levels%20or%20a%20functional" TargetMode="External" /><Relationship Type="http://schemas.openxmlformats.org/officeDocument/2006/relationships/hyperlink" Id="rId22" Target="https://pmc.ncbi.nlm.nih.gov/articles/PMC3934218/#:~:text=vitamin%20B12%20metabolism%20could%20be,In" TargetMode="External" /><Relationship Type="http://schemas.openxmlformats.org/officeDocument/2006/relationships/hyperlink" Id="rId23" Target="https://pmc.ncbi.nlm.nih.gov/articles/PMC3934218/#:~:text=vitamin%20B12%20metabolism%20could%20be,megaloblastic%20anemia%20could%20be%20further" TargetMode="External" /><Relationship Type="http://schemas.openxmlformats.org/officeDocument/2006/relationships/hyperlink" Id="rId78" Target="https://www.facebook.com/groups/autismbangladesh/posts/24494556333538310/" TargetMode="External" /><Relationship Type="http://schemas.openxmlformats.org/officeDocument/2006/relationships/hyperlink" Id="rId31" Target="https://www.facebook.com/groups/autismbangladesh/posts/24494556333538310/#:~:text=Limited%20Improvement%3A%20Others%20note%20modest,bypasses%20these%20blocked%20receptors" TargetMode="External" /><Relationship Type="http://schemas.openxmlformats.org/officeDocument/2006/relationships/hyperlink" Id="rId77" Target="https://www.medlink.com/articles/cerebral-folate-deficiency" TargetMode="External" /><Relationship Type="http://schemas.openxmlformats.org/officeDocument/2006/relationships/hyperlink" Id="rId30" Target="https://www.medlink.com/articles/cerebral-folate-deficiency#:~:text=Cerebral%20folate%20deficiency%20,and%20autistic%20features%20due%20to%E2%80%A6" TargetMode="External" /><Relationship Type="http://schemas.openxmlformats.org/officeDocument/2006/relationships/hyperlink" Id="rId75" Target="https://www.ncbi.nlm.nih.gov/books/NBK532266/" TargetMode="External" /><Relationship Type="http://schemas.openxmlformats.org/officeDocument/2006/relationships/hyperlink" Id="rId26" Target="https://www.ncbi.nlm.nih.gov/books/NBK532266/#:~:text=vitamin%20D%20into%20inactive%20metabolites." TargetMode="External" /><Relationship Type="http://schemas.openxmlformats.org/officeDocument/2006/relationships/hyperlink" Id="rId73" Target="https://www.neurodiversecity.net/blog/leucovorin-and-autism-what-the-research-really-shows" TargetMode="External" /><Relationship Type="http://schemas.openxmlformats.org/officeDocument/2006/relationships/hyperlink" Id="rId24" Target="https://www.neurodiversecity.net/blog/leucovorin-and-autism-what-the-research-really-shows#:~:text=,levels%20despite%20normal%20blood%20folate" TargetMode="External" /><Relationship Type="http://schemas.openxmlformats.org/officeDocument/2006/relationships/hyperlink" Id="rId83" Target="https://www.sciencedirect.com/science/article/pii/S0085253816301788" TargetMode="External" /><Relationship Type="http://schemas.openxmlformats.org/officeDocument/2006/relationships/hyperlink" Id="rId41" Target="https://www.sciencedirect.com/science/article/pii/S0085253816301788#:~:text=Zhang%20et%C2%A0al,generation%20of%20this%20antithiamine%20metabolite" TargetMode="External" /><Relationship Type="http://schemas.openxmlformats.org/officeDocument/2006/relationships/hyperlink" Id="rId42" Target="https://www.sciencedirect.com/science/article/pii/S0085253816301788#:~:text=oxythiamine%20are%20significantly%20increased%20in,generation%20of%20this%20antithiamine%20metabolite" TargetMode="External" /><Relationship Type="http://schemas.openxmlformats.org/officeDocument/2006/relationships/hyperlink" Id="rId82" Target="https://www.thebloodproject.com/cases-archive/iron-and-ckd/takeaways/" TargetMode="External" /><Relationship Type="http://schemas.openxmlformats.org/officeDocument/2006/relationships/hyperlink" Id="rId39" Target="https://www.thebloodproject.com/cases-archive/iron-and-ckd/takeaways/#:~:text=%E2%9C%85%20Most%20CKD%20patients%20with,of%20iron%20to%20developing%20erythrocytes" TargetMode="External" /><Relationship Type="http://schemas.openxmlformats.org/officeDocument/2006/relationships/hyperlink" Id="rId38" Target="https://www.thebloodproject.com/cases-archive/iron-and-ckd/takeaways/#:~:text=,20" TargetMode="External" /><Relationship Type="http://schemas.openxmlformats.org/officeDocument/2006/relationships/hyperlink" Id="rId43" Target="https://www.thebloodproject.com/cases-archive/iron-and-ckd/takeaways/#:~:text=,in%20sufficient%20quantities%20for%20erythropoiesis" TargetMode="External" /><Relationship Type="http://schemas.openxmlformats.org/officeDocument/2006/relationships/hyperlink" Id="rId76" Target="https://www.who.int/health-topics/malnutrition" TargetMode="External" /><Relationship Type="http://schemas.openxmlformats.org/officeDocument/2006/relationships/hyperlink" Id="rId27" Target="https://www.who.int/health-topics/malnutrition#:~:text=Malnutrition%20refers%20to%20deficiencies%20or,stunting%2C%20underweight%2C%20and%20micronutrient%20deficienc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2026-02-11T09:30:04Z</dcterms:created>
  <dcterms:modified xsi:type="dcterms:W3CDTF">2026-02-11T09:30:04Z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