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A8A7D"/>
          <w:sz w:val="40"/>
          <w:szCs w:val="40"/>
        </w:rPr>
        <w:t xml:space="preserve">CFO COMMAND CENTER</w:t>
      </w:r>
    </w:p>
    <w:p>
      <w:pPr>
        <w:spacing w:after="40"/>
      </w:pPr>
      <w:r>
        <w:rPr>
          <w:rFonts w:ascii="Arial" w:cs="Arial" w:eastAsia="Arial" w:hAnsi="Arial"/>
          <w:color w:val="666670"/>
          <w:sz w:val="24"/>
          <w:szCs w:val="24"/>
        </w:rPr>
        <w:t xml:space="preserve">Addendum #4: Property CFO Integration &amp; Complete Property Context</w:t>
      </w:r>
    </w:p>
    <w:p>
      <w:pPr>
        <w:spacing w:after="400"/>
      </w:pPr>
      <w:r>
        <w:rPr>
          <w:rFonts w:ascii="Arial" w:cs="Arial" w:eastAsia="Arial" w:hAnsi="Arial"/>
          <w:color w:val="666670"/>
          <w:sz w:val="18"/>
          <w:szCs w:val="18"/>
        </w:rPr>
        <w:t xml:space="preserve">Based on review of Property CFO instructions.md and status.md  |  April 2026</w:t>
      </w:r>
    </w:p>
    <w:p>
      <w:pPr>
        <w:pBdr>
          <w:bottom w:val="single" w:color="DDDDDD" w:sz="1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X. Integration Decision: Option A — Full Absorption</w:t>
      </w: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After reviewing the Property CFO's instructions.md and status.md, the answer is clear: absorb the property management system fully into the CFO Command Center. Here's why: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F"/>
          <w:sz w:val="20"/>
          <w:szCs w:val="20"/>
        </w:rPr>
        <w:t xml:space="preserve">The data is already financial: </w:t>
      </w:r>
      <w:r>
        <w:rPr>
          <w:rFonts w:ascii="Arial" w:cs="Arial" w:eastAsia="Arial" w:hAnsi="Arial"/>
          <w:color w:val="1A1A1F"/>
          <w:sz w:val="20"/>
          <w:szCs w:val="20"/>
        </w:rPr>
        <w:t xml:space="preserve">Everything in the Property CFO — rent rolls, mortgage details, PM expenses, bank balances, insurance costs, tax data — is exactly what the CFO system needs for tax calculations, cash flow projections, and CPA packet generation.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F"/>
          <w:sz w:val="20"/>
          <w:szCs w:val="20"/>
        </w:rPr>
        <w:t xml:space="preserve">Cross-entity tax optimization requires it: </w:t>
      </w:r>
      <w:r>
        <w:rPr>
          <w:rFonts w:ascii="Arial" w:cs="Arial" w:eastAsia="Arial" w:hAnsi="Arial"/>
          <w:color w:val="1A1A1F"/>
          <w:sz w:val="20"/>
          <w:szCs w:val="20"/>
        </w:rPr>
        <w:t xml:space="preserve">The 18th Street property generates K-1 income that flows to Dylan's 1040. Saratoga's operating loss offsets other income. The Nice apartment triggers FBAR/FATCA. Mortgage interest from all properties feeds Schedule E or itemized deductions. The AI can only optimize across all of this if it sees all of it.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F"/>
          <w:sz w:val="20"/>
          <w:szCs w:val="20"/>
        </w:rPr>
        <w:t xml:space="preserve">The status.md pattern is the knowledge base: </w:t>
      </w:r>
      <w:r>
        <w:rPr>
          <w:rFonts w:ascii="Arial" w:cs="Arial" w:eastAsia="Arial" w:hAnsi="Arial"/>
          <w:color w:val="1A1A1F"/>
          <w:sz w:val="20"/>
          <w:szCs w:val="20"/>
        </w:rPr>
        <w:t xml:space="preserve">The Property CFO's status.md is essentially a manually maintained knowledge base — facts, balances, action items, history. The CFO Command Center replaces this with a structured, queryable database that never loses context between sessions.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F"/>
          <w:sz w:val="20"/>
          <w:szCs w:val="20"/>
        </w:rPr>
        <w:t xml:space="preserve">No more session-start ritual: </w:t>
      </w:r>
      <w:r>
        <w:rPr>
          <w:rFonts w:ascii="Arial" w:cs="Arial" w:eastAsia="Arial" w:hAnsi="Arial"/>
          <w:color w:val="1A1A1F"/>
          <w:sz w:val="20"/>
          <w:szCs w:val="20"/>
        </w:rPr>
        <w:t xml:space="preserve">The Property CFO requires Claude to re-read status.md every session. The CFO Command Center's context builder does this automatically with fresh database queries.</w:t>
      </w:r>
    </w:p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The Property CFO as a standalone Cowork tool gets retired. All its context, data, and operational patterns move into the CFO Command Center.</w:t>
      </w:r>
    </w:p>
    <w:p>
      <w:pPr>
        <w:spacing w:after="80"/>
      </w:pPr>
    </w:p>
    <w:p>
      <w:pPr>
        <w:pBdr>
          <w:bottom w:val="single" w:color="DDDDDD" w:sz="1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Y. Complete Property Portfolio — Seed Data</w:t>
      </w: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The original spec only knew about Game of Thrones LLC (18th Street) and the Nice apartment. The Property CFO reveals a much larger portfolio. The system needs to know about ALL properties, including the primary residence and vacant land.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Y.1 Entity Updates</w:t>
      </w: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The entities table needs to be updated. The original spec had 4 entities (mp, got, nice, personal). We now need to modify and add: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MODIFY: got (Game of Thrones LLC)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name: "Game of Thrones LLC"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type: "partnership" (NOT single-member — Dylan+Keelin 50%, Kevin Lakritz 50%)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tax_treatment: "Partnership, Form 1065, K-1 pass-through. CA LLC $800 franchise tax."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metadata: {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"co_owner": "Kevin Lakritz (50%)",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"co_owner_address": "569 Edgewood Ave, Mill Valley, CA 94941",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"cpa": "Ready CPA LLC (Aaron Ready, PTIN P01598603)",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"ein": "[TBD]",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"ca_sos_status": "SOI overdue since 04/30/2024"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ADD: saratoga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slug: "saratoga"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name: "4605/4607 S. Saratoga St"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type: "rental-property"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tax_treatment: "Schedule E rental income. Dylan+Keelin 100% ownership."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color: "#7C5CFC"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metadata: {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"address": "4605/4607 S. Saratoga St, New Orleans, LA 70115",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"type": "Duplex (Lower 3BR/2BA 1,159sqft; Upper 2BR/2BA 700sqft)",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"pm": "Satsuma Property Management",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"pm_software": "Buildium",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"pm_fee": "10% of gross rent",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"pm_trust_level": "LOW — scrutinize everything"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}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ADD: chippewa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slug: "chippewa"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name: "2365 Chippewa St (Primary Residence)"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type: "primary-residence"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tax_treatment: "Mortgage interest + property tax deductible (itemized or std). Homestead exemption $7,500."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color: "#E07C24"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ADD: hvr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slug: "hvr"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name: "Hidden Valley Ranch (NM)"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type: "vacant-land"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tax_treatment: "No income. Property tax only. No depreciation (land)."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color: "#8B6B4E"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metadata: {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"address": "Lot W(2), Hidden Valley Ranch Subdivision, San Miguel County, NM",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"acreage": "5.2 acres",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"purchased": "2008",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"assessed_value": "$317,935 (full) / $10,578 (taxable)",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"annual_tax": "$132.50",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"mortgage": "none",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"insurance": "none",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"water_rights": "3 acre-feet/annum, shared well, domestic use"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Y.2 Account Updates</w:t>
      </w: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Add these accounts to the accounts table: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14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Account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Entity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Chase Business 2864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checking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got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18th St operations. Balance $46K-$56K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Chase Personal 6459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Chase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checking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saratoga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Saratoga distributions &amp; mortgage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CCF Joint Checking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CCF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checking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nice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IBAN FR76 1807... Balance €14,486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Rocket Mortgage (18th)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Mr. Cooper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mortgage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got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Loan #0684748304. Bal $664K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First Horizon (Saratoga)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Dovenmuehle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mortgage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saratoga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Loan #1475321251. Bal $260K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CCF Mortgage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CCF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mortgage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nice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Contract #JC01400157. Bal €225K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Rocket Mortgage (Chippewa)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Rocket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mortgage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chippewa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Loan #3546307857. Bal $608K</w:t>
            </w:r>
          </w:p>
        </w:tc>
      </w:tr>
    </w:tbl>
    <w:p>
      <w:pPr>
        <w:spacing w:after="80"/>
      </w:pPr>
    </w:p>
    <w:p>
      <w:pPr>
        <w:pBdr>
          <w:bottom w:val="single" w:color="DDDDDD" w:sz="1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Z. Property Knowledge Base — Complete Seed</w:t>
      </w: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The Property CFO's status.md contains hundreds of facts. All of these must be seeded into the knowledge_base table. Here are the critical ones, organized by entity. The system should import ALL facts from status.md, not just these highlights.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Z.1 18th Street (got)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address: "3520 18th St, San Francisco, CA 94110"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property_type: "4 units + 2 parking, 3,634 sqft, built 1923"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ownership: "Game of Thrones LLC (Dylan+Keelin 50%, Kevin Lakritz 50%)"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pm: "Morley Fredericks (Steve Crane)"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pm_software: "AppFolio"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pm_fee: "7% of collected rent = $962.50/mo"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pm_fee_history: "Was 6% ($825/mo) through Aug 2024, then 7% per addendum 08/12/2024"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pm_trust_level: "High — reliable, clean reporting, one known lapse (Recology billing)"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gross_monthly_rent: "$13,750"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gross_annual_rent: "$165,000"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occupancy: "100%"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annual_noi: "~$141,127 (2025)"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true_cash_flow_llc: "~$70,699/yr"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dylan_share: "~$28,410/yr (50% after mortgage)"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mortgage_balance: "$664,114.44 (03/03/2026)"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mortgage_rate: "4.125% fixed"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mortgage_payment: "$5,000/mo ($4,255.22 P&amp;I + $744.78 extra principal)"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mortgage_interest_2025: "$28,438.31"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insurance: "Honeycomb, $3,910.23/yr, Policy #1-HNY-CA-01-01476713-02"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security_deposits_held: "$14,200"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reserves: "$2,000"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2025_form_1065_net_income: "$46,535"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ca_llc_tax: "$800/yr"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recology_quarterly: "~$460"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dph_lien_feb_2026: "$566.65 — penalty paid, root cause was billing going to Lakritz address"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Z.2 18th Street Tenants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tenant_unit1: "Charles Miller &amp; Rebecca Fleenor, $3,200/mo (market $4,200), since 01/2021, rent-controlled"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tenant_unit2: "Ellen Hwang, $3,300/mo + $250 parking, since 05/2023, reliable"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tenant_unit3: "Teresa Lynne Moore, $3,300/mo, since 03/2022, 2 NSFs, pays last day every month"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tenant_unit4: "Jacob Hurwitz, $3,300/mo, since 10/2020, very reliable, deposit $3,000"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tenant_parking1: "Gregory Tan, $400/mo, since 07/2022"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Z.3 Saratoga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address: "4605/4607 S. Saratoga St, New Orleans, LA 70115"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property_type: "Duplex — Lower 3BR/2BA 1,159sqft, Upper 2BR/2BA 700sqft"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ownership: "Dylan + Keelin 100%"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pm: "Satsuma Property Management"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pm_trust_level: "LOW — non-standard reporting, pays bills without questioning, poor follow-up"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pm_fee: "10% of gross rent (~$377/mo)"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gross_monthly_rent: "$3,770 ($3,700 rent + $70 pet fees)"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annual_cash_flow: "~($5,700) deficit after mortgage"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mortgage_balance: "$260,567.69 (03/09/2026)"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mortgage_rate: "4.375% fixed"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mortgage_payment: "$2,469.58/mo + $150 extra principal"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mortgage_interest_2025: "$11,695.97"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insurance: "LA Citizens FAIRPLAN, $5,784/yr, Policy #1162941"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tenant_lower: "Alexander Jochum &amp; Christian Guerrero, $2,100/mo, lease 09/2025-08/2026, auto-renews at $2,310"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tenant_upper: "Renee Jordan, $1,600/mo, anchor tenant"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water_bill_issue_2025: "$1,119.83 overcharge from defective toilet pump. Satsuma paid without questioning. Still unresolved."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water_bill_trend_2026: "$149→$176→$211→$228. Daily usage doubling. Investigation in progress."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guerrero_payment_pattern: "Pays $2,100 in 3 separate installments monthly"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Z.4 Chippewa (Primary Residence)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address: "2365 Chippewa St, New Orleans, LA 70130"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type: "Primary residence"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mortgage_balance: "$607,870.35 (02/16/2026)"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mortgage_rate: "5.990%"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mortgage_payment: "$5,490.72/mo (P&amp;I $3,818.04 + escrow $1,481.31 + shortage $148.87 + PMI $42.50)"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insurance: "SafeChoice/Sagesure, $7,634.13/yr, hurricane deductible 3%"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property_tax_2026: "$7,734.74 (assessed $64,800 - $7,500 homestead)"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home_office: "Both Dylan and Keelin work from home — accountable plan needed (see Addendum #2)"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Z.5 Nice Property — Additional Detail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purchase_date: "04/14/2025"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size: "F2, 50m², 3rd floor, building Le Solenice"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syndic: "Objectif Reussite Immobilier, Ref 0168-0065, accountant Zakaria Zaabara"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quarterly_charges: "€277.75 (general €156.19, common €76.30, works fund €13.50, elevator €31.76)"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monthly_carrying_cost: "~€1,477 (mortgage + utilities + fees + syndic)"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annual_carrying_cost: "~€17,722"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ccf_balance: "€14,486.26 (03/07/2026)"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ccf_runway: "~9.5 months at current burn"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funding_source: "Moneycorp US Inc transfers"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last_transfer: "€10,000 on 02/10/2026"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rental_status: "Not tenanted. All costs from US sources."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rental_potential: "€800-1,000/mo estimated"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fbar_trigger: "YES — CCF balance exceeds $10K, FBAR required"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2025_interest: "€6,238.09 (8 payments May-Dec)"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kylian_heckel: "€65 wire 02/07/2026. Unidentified. Dylan needs to confirm if property or personal."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Z.6 Hidden Valley Ranch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address: "Lot W(2) Hidden Valley Ranch, San Miguel County, NM"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purchased: "2008 from Glenn W. Blackmore Jr."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acreage: "5.2 acres"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water_rights: "3 acre-feet/annum, shared well, domestic use. Change of ownership filed 08/27/2025."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tax_account: "R0661669, Parcel 107568511629"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assessed_value: "Full $317,935 / Taxable $10,578"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annual_tax: "$132.50 ($66.25/half). 2025 PAID IN FULL."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no_mortgage: "true"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no_insurance: "true (empty lot)"</w:t>
      </w:r>
    </w:p>
    <w:p>
      <w:pPr>
        <w:spacing w:after="80"/>
      </w:pPr>
    </w:p>
    <w:p>
      <w:pPr>
        <w:pBdr>
          <w:bottom w:val="single" w:color="DDDDDD" w:sz="1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AA. Property Management Operational Rules</w:t>
      </w: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The Property CFO had specific operational rules embedded in instructions.md. These must be encoded into the CFO Command Center's AI behavior. Add these to the system prompt as a PROPERTY MANAGEMENT section:</w:t>
      </w:r>
    </w:p>
    <w:p>
      <w:pPr>
        <w:spacing w:after="80"/>
      </w:pP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PROPERTY MANAGEMENT RULES: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/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1. SATSUMA IS UNRELIABLE. Scrutinize everything: utility bills, statement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 periods, fee calculations, response times. They pay bills without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 questioning and provide non-standard reporting periods.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2. MORLEY FREDERICKS IS RELIABLE. Trust but verify. Clean reporting,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 consistent docs. One known issue: Recology billing address snafu.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3. Every utility bill should be checked against normal ranges: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 - SF Water: ~$300-350/mo for 4 units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 - SF PG&amp;E: ~$85-95/mo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 - SF Recology: ~$460/quarter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 - NOLA SWBNO: $120-140/mo normal (ALERT if &gt;$150)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 - NOLA Delta Gas: $50-65/mo winter, less summer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4. Morley 18th St mgmt fee: 7% of $13,750 = $962.50. Was 6% before Sep 2024.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5. Satsuma Saratoga mgmt fee: 10% of gross rent ($3,770) = $377/mo.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6. 18th St repair authorization limit: $250. Anything above should get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 approval (Morley usually communicates proactively).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7. France property is in EUR. Always note currency. Track CCF balance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 and runway. Flag when runway drops below 3 months.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8. Reconcile PM distributions against bank deposits every month.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9. Check for lease renewals coming up in next 90 days.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10. Track 1098 mortgage interest annually for all US properties.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11. Track CCF interest attestation annually for France.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12. FBAR/FATCA: CCF account exceeds $10K — filing required.</w:t>
      </w:r>
    </w:p>
    <w:p>
      <w:pPr>
        <w:spacing w:after="80"/>
      </w:pPr>
    </w:p>
    <w:p>
      <w:pPr>
        <w:pBdr>
          <w:bottom w:val="single" w:color="DDDDDD" w:sz="1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AB. Open Action Items — Migrate to Proactive Queue</w:t>
      </w: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The Property CFO's status.md has 14 action items. All open items must be migrated to the proactive_queue table in Supabase. Here is the complete migration: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200"/>
        <w:gridCol w:w="5760"/>
      </w:tblGrid>
      <w:tr>
        <w:trPr>
          <w:tblHeader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Priority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Entity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Item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saratoga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SWBNO water bill overcharge ($1,119.83 from Oct 2025) still unresolved. Satsuma has not provided status despite multiple requests.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got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Form 1065 (8879-PE) STILL UNSIGNED. Dylan must sign before e-filing. CA $800 due. Ask every session.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saratoga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SWBNO water usage doubling ($149→$228 over 4 months). Investigation in progress with Satsuma. $190 threshold addendum being drafted.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got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Recology billing address redirect: confirm Morley has updated. Confirm account fully current.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5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nice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Kylian Heckel €65 payment. Personal or property? Unresolved since Feb 2026.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saratoga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Guerrero split rent (3 installments/mo). Is this Buildium config or manual? Can it be consolidated?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7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nice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No rental income. ~€1,477/mo cash drain. If intended as rental, tenant needed. If personal use, track as known cost.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8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monitor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saratoga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Cash flow deficit ~($5,700)/yr. Improves to ~($3,200)/yr when Guerrero lease renews Aug 2026 at $2,310.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9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monitor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got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Teresa Moore pays last day every month. 2 NSFs on record. No late fees assessed. Monitor.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10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monitor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got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Charles Miller below market by $1,000/mo ($12K/yr, $6K to Dylan). SF rent control limits options.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11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monitor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saratoga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Satsuma oversight quality generally poor. Non-standard periods, no proactive follow-up, bills paid without questioning.</w:t>
            </w:r>
          </w:p>
        </w:tc>
      </w:tr>
    </w:tbl>
    <w:p>
      <w:pPr>
        <w:spacing w:after="80"/>
      </w:pPr>
    </w:p>
    <w:p>
      <w:pPr>
        <w:pBdr>
          <w:bottom w:val="single" w:color="DDDDDD" w:sz="1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AC. Tax Implications From Properties</w:t>
      </w: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The tax estimation engine (Tech Spec Section 8) needs these property-specific inputs. This is where the property data directly feeds the zero-liability target.</w:t>
      </w:r>
    </w:p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AC.1 Schedule E / K-1 Income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2025 Net Income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Dylan's Share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Tax Form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18th Street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$46,535 (Form 1065)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$23,268 (50%)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K-1 from GOT LLC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Saratoga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~($5,700) loss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($5,700) (100%)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Schedule E direct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Nice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No income (costs only)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Costs funded from US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Schedule E if rented; otherwise no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AC.2 Mortgage Interest Deductions (2025)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3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Interest Paid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Currency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8"/>
                <w:szCs w:val="18"/>
              </w:rPr>
              <w:t xml:space="preserve">Deduction Type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18th Street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$28,438.31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USD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Schedule E (K-1)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Saratoga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$11,695.97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USD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Schedule 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Chippewa (primary)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TBD (check 1098)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USD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Schedule A (itemized)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Nice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€6,238.09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EUR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F"/>
                <w:sz w:val="18"/>
                <w:szCs w:val="18"/>
              </w:rPr>
              <w:t xml:space="preserve">Schedule E if rented</w:t>
            </w:r>
          </w:p>
        </w:tc>
      </w:tr>
    </w:tbl>
    <w:p>
      <w:pPr>
        <w:spacing w:after="8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A1A1F"/>
          <w:sz w:val="26"/>
          <w:szCs w:val="26"/>
        </w:rPr>
        <w:t xml:space="preserve">AC.3 Depreciation Schedules</w:t>
      </w: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The tax estimator needs depreciation for each rental property: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18th Street: Built 1923, residential rental, 27.5-year schedule. Cost basis TBD (need purchase price from 2015 minus land allocation).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Saratoga: Residential rental, 27.5-year schedule. Cost basis TBD.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Nice: Foreign real property — ADS required, 40-year schedule. Purchase ~March 2025. Cost basis = purchase price minus land. Only deductible if rented.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Chippewa: Primary residence — NO depreciation (not rental). But if home office via accountable plan, portion may be depreciable.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Hidden Valley Ranch: Land — NO depreciation ever.</w:t>
      </w:r>
    </w:p>
    <w:p>
      <w:pPr>
        <w:spacing w:after="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8A7D"/>
          <w:sz w:val="22"/>
          <w:szCs w:val="22"/>
        </w:rPr>
        <w:t xml:space="preserve">Proactive Queue Item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{ type: "question", priority: "high", entity: "personal",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message: "I need the original purchase prices and cost basis for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18th Street and Saratoga to set up depreciation schedules. Can you</w:t>
      </w:r>
    </w:p>
    <w:p>
      <w:pPr>
        <w:shd w:fill="F5F5F7" w:val="clear"/>
        <w:spacing w:after="80" w:line="280"/>
        <w:ind w:left="360" w:right="360"/>
      </w:pPr>
      <w:r>
        <w:rPr>
          <w:rFonts w:ascii="Courier New" w:cs="Courier New" w:eastAsia="Courier New" w:hAnsi="Courier New"/>
          <w:color w:val="666670"/>
          <w:sz w:val="18"/>
          <w:szCs w:val="18"/>
        </w:rPr>
        <w:t xml:space="preserve">  get these from your CPA or closing documents?" }</w:t>
      </w:r>
    </w:p>
    <w:p>
      <w:pPr>
        <w:spacing w:after="80"/>
      </w:pPr>
    </w:p>
    <w:p>
      <w:pPr>
        <w:pBdr>
          <w:bottom w:val="single" w:color="DDDDDD" w:sz="1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AD. Database Schema Impact</w:t>
      </w: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Adding properties expands the entity count from 4 to 7. The accounts table gets 7 new entries. The knowledge_base gets ~80+ new facts from the property portfolio. The proactive_queue gets 11 migrated action items. No new tables are needed — the existing schema handles all property data.</w:t>
      </w:r>
    </w:p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This is the power of the universal architecture: the same entities/accounts/knowledge_base/transactions/documents schema that handles M+P's business finances and personal investment accounts also handles rental properties, foreign real estate, and vacant land. Nothing special needs to be built for property management — the AI's system prompt just needs the property management operational rules from Section AA.</w:t>
      </w:r>
    </w:p>
    <w:p>
      <w:pPr>
        <w:spacing w:after="80"/>
      </w:pPr>
    </w:p>
    <w:p>
      <w:pPr>
        <w:pBdr>
          <w:bottom w:val="single" w:color="DDDDDD" w:sz="1" w:space="1"/>
        </w:pBdr>
        <w:spacing w:after="200" w:before="20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1A1F"/>
          <w:sz w:val="32"/>
          <w:szCs w:val="32"/>
        </w:rPr>
        <w:t xml:space="preserve">AE. Final Document Hierarchy</w:t>
      </w: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The complete build spec is now 5 documents: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F"/>
          <w:sz w:val="20"/>
          <w:szCs w:val="20"/>
        </w:rPr>
        <w:t xml:space="preserve">1. Tech Spec v1.0: </w:t>
      </w:r>
      <w:r>
        <w:rPr>
          <w:rFonts w:ascii="Arial" w:cs="Arial" w:eastAsia="Arial" w:hAnsi="Arial"/>
          <w:color w:val="1A1A1F"/>
          <w:sz w:val="20"/>
          <w:szCs w:val="20"/>
        </w:rPr>
        <w:t xml:space="preserve">Foundation: architecture, core schema, context injection, knowledge persistence, chat, tax engine, CPA export.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F"/>
          <w:sz w:val="20"/>
          <w:szCs w:val="20"/>
        </w:rPr>
        <w:t xml:space="preserve">2. Addendum #1: </w:t>
      </w:r>
      <w:r>
        <w:rPr>
          <w:rFonts w:ascii="Arial" w:cs="Arial" w:eastAsia="Arial" w:hAnsi="Arial"/>
          <w:color w:val="1A1A1F"/>
          <w:sz w:val="20"/>
          <w:szCs w:val="20"/>
        </w:rPr>
        <w:t xml:space="preserve">Stack, notifications (Gmail API + crons), voice/personality, light design, Google Workspace, updated build phases.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F"/>
          <w:sz w:val="20"/>
          <w:szCs w:val="20"/>
        </w:rPr>
        <w:t xml:space="preserve">3. Addendum #2: </w:t>
      </w:r>
      <w:r>
        <w:rPr>
          <w:rFonts w:ascii="Arial" w:cs="Arial" w:eastAsia="Arial" w:hAnsi="Arial"/>
          <w:color w:val="1A1A1F"/>
          <w:sz w:val="20"/>
          <w:szCs w:val="20"/>
        </w:rPr>
        <w:t xml:space="preserve">Household: Keelin's employment, home office, Sabine's 529, updated tax strategies and estimates.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F"/>
          <w:sz w:val="20"/>
          <w:szCs w:val="20"/>
        </w:rPr>
        <w:t xml:space="preserve">4. Addendum #3: </w:t>
      </w:r>
      <w:r>
        <w:rPr>
          <w:rFonts w:ascii="Arial" w:cs="Arial" w:eastAsia="Arial" w:hAnsi="Arial"/>
          <w:color w:val="1A1A1F"/>
          <w:sz w:val="20"/>
          <w:szCs w:val="20"/>
        </w:rPr>
        <w:t xml:space="preserve">Universal document ingestion: AI parsing, pattern learning, balance tracking, 12-table schema.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Arial" w:cs="Arial" w:eastAsia="Arial" w:hAnsi="Arial"/>
          <w:b/>
          <w:bCs/>
          <w:color w:val="1A1A1F"/>
          <w:sz w:val="20"/>
          <w:szCs w:val="20"/>
        </w:rPr>
        <w:t xml:space="preserve">5. Addendum #4 (this): </w:t>
      </w:r>
      <w:r>
        <w:rPr>
          <w:rFonts w:ascii="Arial" w:cs="Arial" w:eastAsia="Arial" w:hAnsi="Arial"/>
          <w:color w:val="1A1A1F"/>
          <w:sz w:val="20"/>
          <w:szCs w:val="20"/>
        </w:rPr>
        <w:t xml:space="preserve">Property CFO absorption: 3 new entities, 7 new accounts, 80+ knowledge facts, 11 action items, property operational rules, tax implications, depreciation.</w:t>
      </w:r>
    </w:p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Entity count: 7 (mp, got, saratoga, nice, chippewa, hvr, personal). Account count: ~15. Knowledge base seed: ~120+ facts. Tax strategies: ~17. Proactive queue: ~20 items. Tables: 12.</w:t>
      </w:r>
    </w:p>
    <w:p>
      <w:pPr>
        <w:spacing w:after="80"/>
      </w:pPr>
    </w:p>
    <w:p>
      <w:pPr>
        <w:spacing w:after="160" w:line="320"/>
      </w:pPr>
      <w:r>
        <w:rPr>
          <w:rFonts w:ascii="Arial" w:cs="Arial" w:eastAsia="Arial" w:hAnsi="Arial"/>
          <w:color w:val="1A1A1F"/>
          <w:sz w:val="20"/>
          <w:szCs w:val="20"/>
        </w:rPr>
        <w:t xml:space="preserve">Hand all 5 documents to Claude Code. Start with Phase 1 from Addendum #1. The system knows everything.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1"/>
      </w:pBdr>
      <w:tabs>
        <w:tab w:val="right" w:pos="9026"/>
      </w:tabs>
      <w:spacing w:before="200"/>
    </w:pPr>
    <w:r>
      <w:rPr>
        <w:rFonts w:ascii="Courier New" w:cs="Courier New" w:eastAsia="Courier New" w:hAnsi="Courier New"/>
        <w:color w:val="666670"/>
        <w:sz w:val="14"/>
        <w:szCs w:val="14"/>
      </w:rPr>
      <w:t xml:space="preserve">Monday + Partners LLC — Confidential</w:t>
    </w:r>
    <w:r>
      <w:rPr>
        <w:rFonts w:ascii="Courier New" w:cs="Courier New" w:eastAsia="Courier New" w:hAnsi="Courier New"/>
        <w:color w:val="666670"/>
        <w:sz w:val="14"/>
        <w:szCs w:val="14"/>
      </w:rPr>
      <w:ptab w:alignment="right" w:relativeTo="margin" w:leader="none"/>
    </w:r>
    <w:r>
      <w:rPr>
        <w:rFonts w:ascii="Courier New" w:cs="Courier New" w:eastAsia="Courier New" w:hAnsi="Courier New"/>
        <w:color w:val="666670"/>
        <w:sz w:val="14"/>
        <w:szCs w:val="14"/>
      </w:rPr>
      <w:t xml:space="preserve">Addendum #4 — April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 w:space="1"/>
      </w:pBdr>
      <w:spacing w:after="200"/>
    </w:pPr>
    <w:r>
      <w:rPr>
        <w:rFonts w:ascii="Courier New" w:cs="Courier New" w:eastAsia="Courier New" w:hAnsi="Courier New"/>
        <w:color w:val="666670"/>
        <w:sz w:val="14"/>
        <w:szCs w:val="14"/>
      </w:rPr>
      <w:t xml:space="preserve">CFO COMMAND CENTER — Addendum #4: Property Portfolio 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1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A1A1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2026-04-04T16:36:14.901Z</dcterms:created>
  <dcterms:modified xsi:type="dcterms:W3CDTF">2026-04-04T16:36:14.902Z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