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747C" w14:textId="77777777" w:rsidR="002C2778" w:rsidRPr="00E04344" w:rsidRDefault="00000000">
      <w:pPr>
        <w:spacing w:after="60"/>
        <w:jc w:val="center"/>
        <w:rPr>
          <w:rFonts w:ascii="Times New Roman" w:hAnsi="Times New Roman" w:cs="Times New Roman"/>
        </w:rPr>
      </w:pPr>
      <w:r w:rsidRPr="00E04344">
        <w:rPr>
          <w:rFonts w:ascii="Times New Roman" w:hAnsi="Times New Roman" w:cs="Times New Roman"/>
          <w:b/>
          <w:bCs/>
          <w:sz w:val="26"/>
          <w:szCs w:val="26"/>
        </w:rPr>
        <w:t>Predicting Moscow Apartment Prices with Machine Learning</w:t>
      </w:r>
    </w:p>
    <w:p w14:paraId="09BAA060" w14:textId="77777777" w:rsidR="002C2778" w:rsidRPr="00E04344" w:rsidRDefault="00000000">
      <w:pPr>
        <w:spacing w:after="180"/>
        <w:jc w:val="center"/>
        <w:rPr>
          <w:rFonts w:ascii="Times New Roman" w:hAnsi="Times New Roman" w:cs="Times New Roman"/>
        </w:rPr>
      </w:pPr>
      <w:r w:rsidRPr="00E04344">
        <w:rPr>
          <w:rFonts w:ascii="Times New Roman" w:hAnsi="Times New Roman" w:cs="Times New Roman"/>
          <w:sz w:val="20"/>
          <w:szCs w:val="20"/>
        </w:rPr>
        <w:t>ISYE 521: Machine Learning in Action. Authors: Mason Reitmeier, Dylan Hicks, Justin Zens.</w:t>
      </w:r>
    </w:p>
    <w:p w14:paraId="57A748EF" w14:textId="77777777" w:rsidR="002C2778" w:rsidRPr="00E04344" w:rsidRDefault="00000000">
      <w:pPr>
        <w:spacing w:after="120"/>
        <w:rPr>
          <w:rFonts w:ascii="Times New Roman" w:hAnsi="Times New Roman" w:cs="Times New Roman"/>
        </w:rPr>
      </w:pPr>
      <w:r w:rsidRPr="00E04344">
        <w:rPr>
          <w:rFonts w:ascii="Times New Roman" w:hAnsi="Times New Roman" w:cs="Times New Roman"/>
          <w:b/>
          <w:bCs/>
        </w:rPr>
        <w:t>Problem statement.</w:t>
      </w:r>
      <w:r w:rsidRPr="00E04344">
        <w:rPr>
          <w:rFonts w:ascii="Times New Roman" w:hAnsi="Times New Roman" w:cs="Times New Roman"/>
        </w:rPr>
        <w:t xml:space="preserve"> We </w:t>
      </w:r>
      <w:proofErr w:type="gramStart"/>
      <w:r w:rsidRPr="00E04344">
        <w:rPr>
          <w:rFonts w:ascii="Times New Roman" w:hAnsi="Times New Roman" w:cs="Times New Roman"/>
        </w:rPr>
        <w:t>investigate</w:t>
      </w:r>
      <w:proofErr w:type="gramEnd"/>
      <w:r w:rsidRPr="00E04344">
        <w:rPr>
          <w:rFonts w:ascii="Times New Roman" w:hAnsi="Times New Roman" w:cs="Times New Roman"/>
        </w:rPr>
        <w:t xml:space="preserve"> three questions about the Moscow metropolitan housing market: how accurately apartment prices can be predicted from listing features, which features most strongly influence price, and what these rankings reveal about what residents prioritize when choosing housing.</w:t>
      </w:r>
    </w:p>
    <w:p w14:paraId="47A5CC4B" w14:textId="77777777" w:rsidR="002C2778" w:rsidRPr="00E04344" w:rsidRDefault="00000000">
      <w:pPr>
        <w:spacing w:after="120"/>
        <w:rPr>
          <w:rFonts w:ascii="Times New Roman" w:hAnsi="Times New Roman" w:cs="Times New Roman"/>
        </w:rPr>
      </w:pPr>
      <w:r w:rsidRPr="00E04344">
        <w:rPr>
          <w:rFonts w:ascii="Times New Roman" w:hAnsi="Times New Roman" w:cs="Times New Roman"/>
          <w:b/>
          <w:bCs/>
        </w:rPr>
        <w:t>Data.</w:t>
      </w:r>
      <w:r w:rsidRPr="00E04344">
        <w:rPr>
          <w:rFonts w:ascii="Times New Roman" w:hAnsi="Times New Roman" w:cs="Times New Roman"/>
        </w:rPr>
        <w:t xml:space="preserve"> A Kaggle dataset of 22,676 Moscow apartment listings provided eleven features and a Price target in rubles, spanning continuous size and distance variables (Area, Living area, Kitchen area, Minutes to metro), discrete room and floor counts, categorical descriptors (Apartment type, Renovation, Region), and one high-cardinality variable (Metro station, 317 values) that we excluded from modeling. After removing 1,851 duplicates and 2,451 logically invalid rows, 18,374 listings remained. Exploratory analysis showed that Price was heavily right-skewed (skewness 7.63, reduced to 1.13 after a log transform), that Area had the strongest correlation with log-Price (r = 0.80) but was highly collinear with Living area (r = 0.91), and that Moscow listings and Designer-renovated apartments commanded clear premiums.</w:t>
      </w:r>
    </w:p>
    <w:p w14:paraId="3E9B406C" w14:textId="77777777" w:rsidR="002C2778" w:rsidRPr="00E04344" w:rsidRDefault="00000000">
      <w:pPr>
        <w:spacing w:after="120"/>
        <w:rPr>
          <w:rFonts w:ascii="Times New Roman" w:hAnsi="Times New Roman" w:cs="Times New Roman"/>
        </w:rPr>
      </w:pPr>
      <w:r w:rsidRPr="00E04344">
        <w:rPr>
          <w:rFonts w:ascii="Times New Roman" w:hAnsi="Times New Roman" w:cs="Times New Roman"/>
          <w:b/>
          <w:bCs/>
        </w:rPr>
        <w:t>Methods.</w:t>
      </w:r>
      <w:r w:rsidRPr="00E04344">
        <w:rPr>
          <w:rFonts w:ascii="Times New Roman" w:hAnsi="Times New Roman" w:cs="Times New Roman"/>
        </w:rPr>
        <w:t xml:space="preserve"> We log-transformed the target, one-hot encoded the categorical features with </w:t>
      </w:r>
      <w:proofErr w:type="spellStart"/>
      <w:r w:rsidRPr="00E04344">
        <w:rPr>
          <w:rFonts w:ascii="Times New Roman" w:hAnsi="Times New Roman" w:cs="Times New Roman"/>
        </w:rPr>
        <w:t>drop_</w:t>
      </w:r>
      <w:proofErr w:type="gramStart"/>
      <w:r w:rsidRPr="00E04344">
        <w:rPr>
          <w:rFonts w:ascii="Times New Roman" w:hAnsi="Times New Roman" w:cs="Times New Roman"/>
        </w:rPr>
        <w:t>first</w:t>
      </w:r>
      <w:proofErr w:type="spellEnd"/>
      <w:r w:rsidRPr="00E04344">
        <w:rPr>
          <w:rFonts w:ascii="Times New Roman" w:hAnsi="Times New Roman" w:cs="Times New Roman"/>
        </w:rPr>
        <w:t>, and</w:t>
      </w:r>
      <w:proofErr w:type="gramEnd"/>
      <w:r w:rsidRPr="00E04344">
        <w:rPr>
          <w:rFonts w:ascii="Times New Roman" w:hAnsi="Times New Roman" w:cs="Times New Roman"/>
        </w:rPr>
        <w:t xml:space="preserve"> used an 80/20 train/test split with </w:t>
      </w:r>
      <w:proofErr w:type="spellStart"/>
      <w:r w:rsidRPr="00E04344">
        <w:rPr>
          <w:rFonts w:ascii="Times New Roman" w:hAnsi="Times New Roman" w:cs="Times New Roman"/>
        </w:rPr>
        <w:t>StandardScaler</w:t>
      </w:r>
      <w:proofErr w:type="spellEnd"/>
      <w:r w:rsidRPr="00E04344">
        <w:rPr>
          <w:rFonts w:ascii="Times New Roman" w:hAnsi="Times New Roman" w:cs="Times New Roman"/>
        </w:rPr>
        <w:t xml:space="preserve"> applied to numeric features via a shared </w:t>
      </w:r>
      <w:proofErr w:type="spellStart"/>
      <w:r w:rsidRPr="00E04344">
        <w:rPr>
          <w:rFonts w:ascii="Times New Roman" w:hAnsi="Times New Roman" w:cs="Times New Roman"/>
        </w:rPr>
        <w:t>ColumnTransformer</w:t>
      </w:r>
      <w:proofErr w:type="spellEnd"/>
      <w:r w:rsidRPr="00E04344">
        <w:rPr>
          <w:rFonts w:ascii="Times New Roman" w:hAnsi="Times New Roman" w:cs="Times New Roman"/>
        </w:rPr>
        <w:t>. Eight models were fit and compared: OLS, Lasso (</w:t>
      </w:r>
      <w:proofErr w:type="spellStart"/>
      <w:r w:rsidRPr="00E04344">
        <w:rPr>
          <w:rFonts w:ascii="Times New Roman" w:hAnsi="Times New Roman" w:cs="Times New Roman"/>
        </w:rPr>
        <w:t>LassoCV</w:t>
      </w:r>
      <w:proofErr w:type="spellEnd"/>
      <w:r w:rsidRPr="00E04344">
        <w:rPr>
          <w:rFonts w:ascii="Times New Roman" w:hAnsi="Times New Roman" w:cs="Times New Roman"/>
        </w:rPr>
        <w:t>), Ridge (</w:t>
      </w:r>
      <w:proofErr w:type="spellStart"/>
      <w:r w:rsidRPr="00E04344">
        <w:rPr>
          <w:rFonts w:ascii="Times New Roman" w:hAnsi="Times New Roman" w:cs="Times New Roman"/>
        </w:rPr>
        <w:t>RidgeCV</w:t>
      </w:r>
      <w:proofErr w:type="spellEnd"/>
      <w:r w:rsidRPr="00E04344">
        <w:rPr>
          <w:rFonts w:ascii="Times New Roman" w:hAnsi="Times New Roman" w:cs="Times New Roman"/>
        </w:rPr>
        <w:t>), Decision Tree (</w:t>
      </w:r>
      <w:proofErr w:type="spellStart"/>
      <w:r w:rsidRPr="00E04344">
        <w:rPr>
          <w:rFonts w:ascii="Times New Roman" w:hAnsi="Times New Roman" w:cs="Times New Roman"/>
        </w:rPr>
        <w:t>GridSearchCV</w:t>
      </w:r>
      <w:proofErr w:type="spellEnd"/>
      <w:r w:rsidRPr="00E04344">
        <w:rPr>
          <w:rFonts w:ascii="Times New Roman" w:hAnsi="Times New Roman" w:cs="Times New Roman"/>
        </w:rPr>
        <w:t>), Random Forest (</w:t>
      </w:r>
      <w:proofErr w:type="spellStart"/>
      <w:r w:rsidRPr="00E04344">
        <w:rPr>
          <w:rFonts w:ascii="Times New Roman" w:hAnsi="Times New Roman" w:cs="Times New Roman"/>
        </w:rPr>
        <w:t>RandomizedSearchCV</w:t>
      </w:r>
      <w:proofErr w:type="spellEnd"/>
      <w:r w:rsidRPr="00E04344">
        <w:rPr>
          <w:rFonts w:ascii="Times New Roman" w:hAnsi="Times New Roman" w:cs="Times New Roman"/>
        </w:rPr>
        <w:t>), AdaBoost (</w:t>
      </w:r>
      <w:proofErr w:type="spellStart"/>
      <w:r w:rsidRPr="00E04344">
        <w:rPr>
          <w:rFonts w:ascii="Times New Roman" w:hAnsi="Times New Roman" w:cs="Times New Roman"/>
        </w:rPr>
        <w:t>GridSearchCV</w:t>
      </w:r>
      <w:proofErr w:type="spellEnd"/>
      <w:r w:rsidRPr="00E04344">
        <w:rPr>
          <w:rFonts w:ascii="Times New Roman" w:hAnsi="Times New Roman" w:cs="Times New Roman"/>
        </w:rPr>
        <w:t xml:space="preserve">), a </w:t>
      </w:r>
      <w:proofErr w:type="spellStart"/>
      <w:r w:rsidRPr="00E04344">
        <w:rPr>
          <w:rFonts w:ascii="Times New Roman" w:hAnsi="Times New Roman" w:cs="Times New Roman"/>
        </w:rPr>
        <w:t>PyTorch</w:t>
      </w:r>
      <w:proofErr w:type="spellEnd"/>
      <w:r w:rsidRPr="00E04344">
        <w:rPr>
          <w:rFonts w:ascii="Times New Roman" w:hAnsi="Times New Roman" w:cs="Times New Roman"/>
        </w:rPr>
        <w:t xml:space="preserve"> MLP, and a Stacking Ensemble with a </w:t>
      </w:r>
      <w:proofErr w:type="spellStart"/>
      <w:r w:rsidRPr="00E04344">
        <w:rPr>
          <w:rFonts w:ascii="Times New Roman" w:hAnsi="Times New Roman" w:cs="Times New Roman"/>
        </w:rPr>
        <w:t>RidgeCV</w:t>
      </w:r>
      <w:proofErr w:type="spellEnd"/>
      <w:r w:rsidRPr="00E04344">
        <w:rPr>
          <w:rFonts w:ascii="Times New Roman" w:hAnsi="Times New Roman" w:cs="Times New Roman"/>
        </w:rPr>
        <w:t xml:space="preserve"> meta-learner. Models were evaluated using Train and Test R², RMSE on log-price as the primary accuracy metric, and MAE and MAPE in rubles for interpretability.</w:t>
      </w:r>
    </w:p>
    <w:p w14:paraId="65034DA4" w14:textId="77777777" w:rsidR="002C2778" w:rsidRPr="00E04344" w:rsidRDefault="00000000">
      <w:pPr>
        <w:spacing w:after="120"/>
        <w:rPr>
          <w:rFonts w:ascii="Times New Roman" w:hAnsi="Times New Roman" w:cs="Times New Roman"/>
        </w:rPr>
      </w:pPr>
      <w:r w:rsidRPr="00E04344">
        <w:rPr>
          <w:rFonts w:ascii="Times New Roman" w:hAnsi="Times New Roman" w:cs="Times New Roman"/>
          <w:b/>
          <w:bCs/>
        </w:rPr>
        <w:t>Results.</w:t>
      </w:r>
      <w:r w:rsidRPr="00E04344">
        <w:rPr>
          <w:rFonts w:ascii="Times New Roman" w:hAnsi="Times New Roman" w:cs="Times New Roman"/>
        </w:rPr>
        <w:t xml:space="preserve"> The tuned Random Forest was the strongest model, reaching Test R² = 0.9464, RMSE (log) = 0.2491, MAE ≈ ₽11.6M, and MAPE = 15.1%. Linear models (OLS, Lasso, Ridge) clustered at Test R² ≈ 0.869, and the Stacking Ensemble essentially tied Random Forest (Test R² = 0.9450) with 95.5% of its meta-learner weight placed on the Random Forest prediction. Permutation importance ranked Area first by a wide margin (0.36), followed by Apartment type (0.09), Region (0.07), and Living area (0.05); Floor and Number of floors were effectively non-predictive.</w:t>
      </w:r>
    </w:p>
    <w:p w14:paraId="4AC687AF" w14:textId="77777777" w:rsidR="002C2778" w:rsidRPr="00E04344" w:rsidRDefault="00000000">
      <w:pPr>
        <w:spacing w:after="120"/>
        <w:rPr>
          <w:rFonts w:ascii="Times New Roman" w:hAnsi="Times New Roman" w:cs="Times New Roman"/>
        </w:rPr>
      </w:pPr>
      <w:r w:rsidRPr="00E04344">
        <w:rPr>
          <w:rFonts w:ascii="Times New Roman" w:hAnsi="Times New Roman" w:cs="Times New Roman"/>
          <w:b/>
          <w:bCs/>
        </w:rPr>
        <w:t>Conclusions.</w:t>
      </w:r>
      <w:r w:rsidRPr="00E04344">
        <w:rPr>
          <w:rFonts w:ascii="Times New Roman" w:hAnsi="Times New Roman" w:cs="Times New Roman"/>
        </w:rPr>
        <w:t xml:space="preserve"> Moscow apartment prices can be predicted with roughly 95% explained variance and about 15% MAPE using a tuned Random Forest. Apartment size is the dominant price driver, with building type (new versus secondary) and Region (Moscow city versus oblast) following behind, and renovation quality and metro proximity playing meaningful but secondary roles. These rankings suggest that Moscow buyers prioritize space first, then city location and building newness, with cosmetic features adding a premium rather than overriding fundamentals.</w:t>
      </w:r>
    </w:p>
    <w:sectPr w:rsidR="002C2778" w:rsidRPr="00E043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52B"/>
    <w:multiLevelType w:val="hybridMultilevel"/>
    <w:tmpl w:val="B14E8972"/>
    <w:lvl w:ilvl="0" w:tplc="4CBAED30">
      <w:start w:val="1"/>
      <w:numFmt w:val="bullet"/>
      <w:lvlText w:val="●"/>
      <w:lvlJc w:val="left"/>
      <w:pPr>
        <w:ind w:left="720" w:hanging="360"/>
      </w:pPr>
    </w:lvl>
    <w:lvl w:ilvl="1" w:tplc="FF589922">
      <w:start w:val="1"/>
      <w:numFmt w:val="bullet"/>
      <w:lvlText w:val="○"/>
      <w:lvlJc w:val="left"/>
      <w:pPr>
        <w:ind w:left="1440" w:hanging="360"/>
      </w:pPr>
    </w:lvl>
    <w:lvl w:ilvl="2" w:tplc="3926DCB4">
      <w:start w:val="1"/>
      <w:numFmt w:val="bullet"/>
      <w:lvlText w:val="■"/>
      <w:lvlJc w:val="left"/>
      <w:pPr>
        <w:ind w:left="2160" w:hanging="360"/>
      </w:pPr>
    </w:lvl>
    <w:lvl w:ilvl="3" w:tplc="A0985812">
      <w:start w:val="1"/>
      <w:numFmt w:val="bullet"/>
      <w:lvlText w:val="●"/>
      <w:lvlJc w:val="left"/>
      <w:pPr>
        <w:ind w:left="2880" w:hanging="360"/>
      </w:pPr>
    </w:lvl>
    <w:lvl w:ilvl="4" w:tplc="413E7A0E">
      <w:start w:val="1"/>
      <w:numFmt w:val="bullet"/>
      <w:lvlText w:val="○"/>
      <w:lvlJc w:val="left"/>
      <w:pPr>
        <w:ind w:left="3600" w:hanging="360"/>
      </w:pPr>
    </w:lvl>
    <w:lvl w:ilvl="5" w:tplc="127460B4">
      <w:start w:val="1"/>
      <w:numFmt w:val="bullet"/>
      <w:lvlText w:val="■"/>
      <w:lvlJc w:val="left"/>
      <w:pPr>
        <w:ind w:left="4320" w:hanging="360"/>
      </w:pPr>
    </w:lvl>
    <w:lvl w:ilvl="6" w:tplc="77428A78">
      <w:start w:val="1"/>
      <w:numFmt w:val="bullet"/>
      <w:lvlText w:val="●"/>
      <w:lvlJc w:val="left"/>
      <w:pPr>
        <w:ind w:left="5040" w:hanging="360"/>
      </w:pPr>
    </w:lvl>
    <w:lvl w:ilvl="7" w:tplc="A96282F4">
      <w:start w:val="1"/>
      <w:numFmt w:val="bullet"/>
      <w:lvlText w:val="●"/>
      <w:lvlJc w:val="left"/>
      <w:pPr>
        <w:ind w:left="5760" w:hanging="360"/>
      </w:pPr>
    </w:lvl>
    <w:lvl w:ilvl="8" w:tplc="3ABA45C2">
      <w:start w:val="1"/>
      <w:numFmt w:val="bullet"/>
      <w:lvlText w:val="●"/>
      <w:lvlJc w:val="left"/>
      <w:pPr>
        <w:ind w:left="6480" w:hanging="360"/>
      </w:pPr>
    </w:lvl>
  </w:abstractNum>
  <w:num w:numId="1" w16cid:durableId="1304390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778"/>
    <w:rsid w:val="00150B98"/>
    <w:rsid w:val="002C2778"/>
    <w:rsid w:val="00955EAF"/>
    <w:rsid w:val="00E04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80E4"/>
  <w15:docId w15:val="{942E9EE2-C8BF-4521-95DD-D0881671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Dylan Hicks</cp:lastModifiedBy>
  <cp:revision>3</cp:revision>
  <dcterms:created xsi:type="dcterms:W3CDTF">2026-04-23T00:22:00Z</dcterms:created>
  <dcterms:modified xsi:type="dcterms:W3CDTF">2026-04-23T03:03:00Z</dcterms:modified>
</cp:coreProperties>
</file>