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3575" w14:textId="77777777" w:rsidR="0073083B" w:rsidRDefault="00000000" w:rsidP="007036BD">
      <w:pPr>
        <w:pStyle w:val="Title"/>
        <w:spacing w:line="240" w:lineRule="auto"/>
        <w:jc w:val="center"/>
      </w:pPr>
      <w:bookmarkStart w:id="0" w:name="_imnshhdvobzd" w:colFirst="0" w:colLast="0"/>
      <w:bookmarkEnd w:id="0"/>
      <w:r>
        <w:t>Preliminary Report</w:t>
      </w:r>
    </w:p>
    <w:p w14:paraId="2FAF8C6B" w14:textId="77777777" w:rsidR="0073083B" w:rsidRDefault="00000000" w:rsidP="007036BD">
      <w:pPr>
        <w:spacing w:line="240" w:lineRule="auto"/>
        <w:jc w:val="center"/>
        <w:rPr>
          <w:sz w:val="24"/>
          <w:szCs w:val="24"/>
        </w:rPr>
      </w:pPr>
      <w:r>
        <w:rPr>
          <w:sz w:val="24"/>
          <w:szCs w:val="24"/>
        </w:rPr>
        <w:t>ISYE 521: Machine Learning in Action</w:t>
      </w:r>
    </w:p>
    <w:p w14:paraId="7CAAA036" w14:textId="77777777" w:rsidR="0073083B" w:rsidRDefault="00000000" w:rsidP="007036BD">
      <w:pPr>
        <w:spacing w:line="240" w:lineRule="auto"/>
        <w:jc w:val="center"/>
        <w:rPr>
          <w:sz w:val="24"/>
          <w:szCs w:val="24"/>
        </w:rPr>
      </w:pPr>
      <w:r>
        <w:rPr>
          <w:sz w:val="24"/>
          <w:szCs w:val="24"/>
        </w:rPr>
        <w:t>By: Dylan Hicks, Justin Zens, Mason Reitmeier</w:t>
      </w:r>
    </w:p>
    <w:p w14:paraId="38D1326D" w14:textId="77777777" w:rsidR="0073083B" w:rsidRDefault="00000000" w:rsidP="007036BD">
      <w:pPr>
        <w:pStyle w:val="Heading3"/>
        <w:spacing w:line="240" w:lineRule="auto"/>
        <w:rPr>
          <w:b/>
          <w:bCs/>
        </w:rPr>
      </w:pPr>
      <w:bookmarkStart w:id="1" w:name="_9nm98pwsbk3e" w:colFirst="0" w:colLast="0"/>
      <w:bookmarkEnd w:id="1"/>
      <w:r>
        <w:rPr>
          <w:b/>
          <w:bCs/>
        </w:rPr>
        <w:t>Problem statement:</w:t>
      </w:r>
    </w:p>
    <w:p w14:paraId="4C884E59" w14:textId="77777777" w:rsidR="0073083B" w:rsidRDefault="00000000" w:rsidP="007036BD">
      <w:pPr>
        <w:spacing w:line="240" w:lineRule="auto"/>
      </w:pPr>
      <w:r>
        <w:t>This project investigates how accurately machine learning methods can predict apartment housing prices in the Moscow metropolitan area. Using a Kaggle dataset of over 22,000 listings with 11 features, we aim to answer three questions: (1) How accurately can we predict apartment prices given the available variables? (2) Which apartment features are most important in determining price? (3) Since price reflects buyer preference, what do Moscow residents appear to prioritize when searching for housing?</w:t>
      </w:r>
    </w:p>
    <w:p w14:paraId="24328280" w14:textId="77777777" w:rsidR="0073083B" w:rsidRDefault="00000000" w:rsidP="007036BD">
      <w:pPr>
        <w:pStyle w:val="Heading3"/>
        <w:spacing w:line="240" w:lineRule="auto"/>
        <w:rPr>
          <w:b/>
          <w:bCs/>
        </w:rPr>
      </w:pPr>
      <w:bookmarkStart w:id="2" w:name="_walpw2ig21r2" w:colFirst="0" w:colLast="0"/>
      <w:bookmarkEnd w:id="2"/>
      <w:r>
        <w:rPr>
          <w:b/>
          <w:bCs/>
        </w:rPr>
        <w:t>Data</w:t>
      </w:r>
      <w:r>
        <w:rPr>
          <w:b/>
          <w:bCs/>
          <w:sz w:val="24"/>
          <w:szCs w:val="24"/>
        </w:rPr>
        <w:t xml:space="preserve"> </w:t>
      </w:r>
      <w:hyperlink r:id="rId5">
        <w:r>
          <w:rPr>
            <w:b/>
            <w:bCs/>
            <w:color w:val="467886"/>
            <w:sz w:val="24"/>
            <w:szCs w:val="24"/>
            <w:highlight w:val="white"/>
            <w:u w:val="single"/>
          </w:rPr>
          <w:t>(link)</w:t>
        </w:r>
      </w:hyperlink>
      <w:r>
        <w:rPr>
          <w:b/>
          <w:bCs/>
        </w:rPr>
        <w:t>:</w:t>
      </w:r>
    </w:p>
    <w:p w14:paraId="40C53DFE" w14:textId="77777777" w:rsidR="0073083B" w:rsidRDefault="00000000" w:rsidP="007036BD">
      <w:pPr>
        <w:spacing w:line="240" w:lineRule="auto"/>
      </w:pPr>
      <w:r>
        <w:t>The dataset was sourced from Kaggle and originally contained 22,676 apartment listings in the Moscow metropolitan area with 11 features and one target variable (Price, in rubles). Features include continuous variables (Area, Living area, Kitchen area, Minutes to metro), discrete variables (Number of rooms, Floor, Number of floors), categorical variables (Apartment type, Renovation), a binary variable (Region: Moscow vs. Moscow region), and a high-cardinality nominal variable (Metro station, 317 unique stations).</w:t>
      </w:r>
    </w:p>
    <w:p w14:paraId="69E81CC7" w14:textId="77777777" w:rsidR="0073083B" w:rsidRDefault="0073083B" w:rsidP="007036BD">
      <w:pPr>
        <w:spacing w:line="240" w:lineRule="auto"/>
        <w:ind w:firstLine="720"/>
      </w:pPr>
    </w:p>
    <w:p w14:paraId="08A4E087" w14:textId="77777777" w:rsidR="0073083B" w:rsidRDefault="00000000" w:rsidP="007036BD">
      <w:pPr>
        <w:spacing w:line="240" w:lineRule="auto"/>
      </w:pPr>
      <w:r>
        <w:t>During cleaning, we removed 1,851 duplicate rows and 2,451 rows with invalid entries where floor exceeded the building's total floors, kitchen area exceeded total area, or the sum of kitchen and living area exceeded total area. No missing values were present in the raw data. The final cleaned dataset contains 18,374 observations across 12 columns. Median apartment price is approximately 12.4 million rubles, with a median area of 54.7 square meters and a median of 2 rooms, though the distribution has a long right tail with listings exceeding 2 billion rubles. For modeling, categorical variables (Apartment type, Region, Renovation) were one-hot encoded with the first category dropped, Metro station was excluded due to its high cardinality, and the target variable was log-transformed to address severe right skewness (raw skewness of 7.63 reduced to 1.13). The data was split 80/20 into training (14,699) and test (3,675) sets, yielding 12 input features.</w:t>
      </w:r>
    </w:p>
    <w:p w14:paraId="3846538A" w14:textId="77777777" w:rsidR="0073083B" w:rsidRDefault="00000000" w:rsidP="007036BD">
      <w:pPr>
        <w:pStyle w:val="Heading3"/>
        <w:spacing w:line="240" w:lineRule="auto"/>
        <w:rPr>
          <w:b/>
          <w:bCs/>
        </w:rPr>
      </w:pPr>
      <w:bookmarkStart w:id="3" w:name="_h7kt94a7ai2r" w:colFirst="0" w:colLast="0"/>
      <w:bookmarkEnd w:id="3"/>
      <w:r>
        <w:rPr>
          <w:b/>
          <w:bCs/>
        </w:rPr>
        <w:t>Methods:</w:t>
      </w:r>
    </w:p>
    <w:p w14:paraId="7CFFAD52" w14:textId="77777777" w:rsidR="0073083B" w:rsidRDefault="00000000" w:rsidP="007036BD">
      <w:pPr>
        <w:spacing w:line="240" w:lineRule="auto"/>
      </w:pPr>
      <w:r>
        <w:rPr>
          <w:b/>
          <w:bCs/>
        </w:rPr>
        <w:t>Preprocessing:</w:t>
      </w:r>
      <w:r>
        <w:t xml:space="preserve"> The target variable (Price) was log-transformed to address severe right skewness (raw skewness of 7.63 reduced to 1.13). Categorical variables (Apartment type, Region, Renovation) were one-hot encoded with the first category </w:t>
      </w:r>
      <w:proofErr w:type="gramStart"/>
      <w:r>
        <w:t>dropped</w:t>
      </w:r>
      <w:proofErr w:type="gramEnd"/>
      <w:r>
        <w:t xml:space="preserve"> to avoid multicollinearity. Metro station was excluded due to its high cardinality (317 unique values). All models were trained on an 80/20 train-test split (14,699 / 3,675 observations, random state = 42) and evaluated using R², RMSE on log-price, and MAE in rubles.</w:t>
      </w:r>
    </w:p>
    <w:p w14:paraId="77A91AF9" w14:textId="77777777" w:rsidR="0073083B" w:rsidRDefault="0073083B" w:rsidP="007036BD">
      <w:pPr>
        <w:spacing w:line="240" w:lineRule="auto"/>
        <w:ind w:firstLine="720"/>
      </w:pPr>
    </w:p>
    <w:p w14:paraId="2D7CA9C9" w14:textId="77777777" w:rsidR="0073083B" w:rsidRDefault="00000000" w:rsidP="007036BD">
      <w:pPr>
        <w:spacing w:line="240" w:lineRule="auto"/>
      </w:pPr>
      <w:r>
        <w:rPr>
          <w:b/>
          <w:bCs/>
        </w:rPr>
        <w:t>OLS Linear Regression (Baseline):</w:t>
      </w:r>
      <w:r>
        <w:t xml:space="preserve"> A standard ordinary least squares regression was fitted using all 12 features to establish a performance baseline. This model assumes a linear relationship between features and </w:t>
      </w:r>
      <w:proofErr w:type="gramStart"/>
      <w:r>
        <w:t>log(</w:t>
      </w:r>
      <w:proofErr w:type="gramEnd"/>
      <w:r>
        <w:t>Price) and provides interpretable coefficients for understanding feature importance.</w:t>
      </w:r>
    </w:p>
    <w:p w14:paraId="228A4A14" w14:textId="77777777" w:rsidR="0073083B" w:rsidRDefault="0073083B" w:rsidP="007036BD">
      <w:pPr>
        <w:spacing w:line="240" w:lineRule="auto"/>
        <w:ind w:firstLine="720"/>
      </w:pPr>
    </w:p>
    <w:p w14:paraId="2E48B4BD" w14:textId="77777777" w:rsidR="0073083B" w:rsidRDefault="00000000" w:rsidP="007036BD">
      <w:pPr>
        <w:spacing w:line="240" w:lineRule="auto"/>
      </w:pPr>
      <w:r>
        <w:rPr>
          <w:b/>
          <w:bCs/>
        </w:rPr>
        <w:lastRenderedPageBreak/>
        <w:t>Lasso Regression</w:t>
      </w:r>
      <w:r>
        <w:t>: To perform automatic feature selection and address potential multicollinearity (notably between Area and Living area, r = 0.91), we fit a Lasso regression using a pipeline that standardizes numeric features before regularization. The optimal regularization parameter (alpha) was selected via 10-fold cross-validation. Lasso penalizes the absolute magnitude of coefficients, shrinking less important features toward zero and potentially removing them entirely.</w:t>
      </w:r>
    </w:p>
    <w:p w14:paraId="364A7779" w14:textId="77777777" w:rsidR="0073083B" w:rsidRDefault="0073083B" w:rsidP="007036BD">
      <w:pPr>
        <w:spacing w:line="240" w:lineRule="auto"/>
        <w:ind w:firstLine="720"/>
      </w:pPr>
    </w:p>
    <w:p w14:paraId="61D63B5D" w14:textId="77777777" w:rsidR="0073083B" w:rsidRDefault="00000000" w:rsidP="007036BD">
      <w:pPr>
        <w:spacing w:line="240" w:lineRule="auto"/>
      </w:pPr>
      <w:r>
        <w:rPr>
          <w:b/>
          <w:bCs/>
        </w:rPr>
        <w:t>Planned Methods:</w:t>
      </w:r>
      <w:r>
        <w:t xml:space="preserve"> For the final report, we intend to implement Ridge regression to compare L2 regularization against Lasso's L1 approach, Decision Tree and Random Forest regression with hyperparameter tuning via grid search, AdaBoost regression to explore boosting-based ensemble methods, and a Neural Network regression using </w:t>
      </w:r>
      <w:proofErr w:type="spellStart"/>
      <w:r>
        <w:t>PyTorch</w:t>
      </w:r>
      <w:proofErr w:type="spellEnd"/>
      <w:r>
        <w:t>.</w:t>
      </w:r>
    </w:p>
    <w:p w14:paraId="72B059E4" w14:textId="77777777" w:rsidR="0073083B" w:rsidRDefault="00000000" w:rsidP="007036BD">
      <w:pPr>
        <w:pStyle w:val="Heading3"/>
        <w:spacing w:line="240" w:lineRule="auto"/>
        <w:rPr>
          <w:b/>
          <w:bCs/>
        </w:rPr>
      </w:pPr>
      <w:bookmarkStart w:id="4" w:name="_xwarwiszrcdu" w:colFirst="0" w:colLast="0"/>
      <w:bookmarkEnd w:id="4"/>
      <w:r>
        <w:rPr>
          <w:b/>
          <w:bCs/>
        </w:rPr>
        <w:t>Initial Findings:</w:t>
      </w:r>
    </w:p>
    <w:p w14:paraId="72756A60" w14:textId="77777777" w:rsidR="0073083B" w:rsidRDefault="00000000" w:rsidP="007036BD">
      <w:pPr>
        <w:pStyle w:val="Heading4"/>
        <w:spacing w:line="240" w:lineRule="auto"/>
        <w:rPr>
          <w:b/>
          <w:bCs/>
        </w:rPr>
      </w:pPr>
      <w:bookmarkStart w:id="5" w:name="_l7pv8a28fylx" w:colFirst="0" w:colLast="0"/>
      <w:bookmarkEnd w:id="5"/>
      <w:r>
        <w:rPr>
          <w:b/>
          <w:bCs/>
        </w:rPr>
        <w:t>EDA Findings:</w:t>
      </w:r>
    </w:p>
    <w:p w14:paraId="1D7ECA1B" w14:textId="77777777" w:rsidR="0073083B" w:rsidRDefault="00000000" w:rsidP="007036BD">
      <w:pPr>
        <w:spacing w:line="240" w:lineRule="auto"/>
      </w:pPr>
      <w:r>
        <w:t>The target variable, Price, is heavily right-skewed (skewness = 7.63) with a median of 12.4 million rubles and a maximum exceeding 2.4 billion rubles. A log transformation reduced skewness to 1.13 and produced a much more symmetric distribution suitable for linear modeling.</w:t>
      </w:r>
    </w:p>
    <w:p w14:paraId="241C3092" w14:textId="77777777" w:rsidR="0073083B" w:rsidRDefault="0073083B" w:rsidP="007036BD">
      <w:pPr>
        <w:spacing w:line="240" w:lineRule="auto"/>
      </w:pPr>
    </w:p>
    <w:p w14:paraId="688024CF" w14:textId="77777777" w:rsidR="0073083B" w:rsidRDefault="00000000" w:rsidP="007036BD">
      <w:pPr>
        <w:spacing w:line="240" w:lineRule="auto"/>
      </w:pPr>
      <w:r>
        <w:t xml:space="preserve">Correlation analysis against </w:t>
      </w:r>
      <w:proofErr w:type="gramStart"/>
      <w:r>
        <w:t>log(</w:t>
      </w:r>
      <w:proofErr w:type="gramEnd"/>
      <w:r>
        <w:t>Price) revealed Area (r = 0.80) as the strongest numeric predictor, followed by Living area (0.74), Number of rooms (0.67), and Kitchen area (0.63). Floor (0.11), Number of floors (0.08), and Minutes to metro (-0.08) showed weak associations. Notably, Area and Living area are highly correlated with each other (r = 0.91), signaling potential multicollinearity in linear models. Price variance increases with apartment size, visible in scatter plots as a widening fan shape, indicating heteroscedasticity that the log transformation partially addresses.</w:t>
      </w:r>
    </w:p>
    <w:p w14:paraId="1710F5E3" w14:textId="77777777" w:rsidR="0073083B" w:rsidRDefault="0073083B" w:rsidP="007036BD">
      <w:pPr>
        <w:spacing w:line="240" w:lineRule="auto"/>
      </w:pPr>
    </w:p>
    <w:p w14:paraId="00B5D365" w14:textId="77777777" w:rsidR="0073083B" w:rsidRDefault="00000000" w:rsidP="007036BD">
      <w:pPr>
        <w:spacing w:line="240" w:lineRule="auto"/>
      </w:pPr>
      <w:r>
        <w:t xml:space="preserve">Most numeric features are </w:t>
      </w:r>
      <w:proofErr w:type="gramStart"/>
      <w:r>
        <w:t>right-skewed</w:t>
      </w:r>
      <w:proofErr w:type="gramEnd"/>
      <w:r>
        <w:t xml:space="preserve"> as well. </w:t>
      </w:r>
      <w:proofErr w:type="gramStart"/>
      <w:r>
        <w:t>The majority of</w:t>
      </w:r>
      <w:proofErr w:type="gramEnd"/>
      <w:r>
        <w:t xml:space="preserve"> apartments have 1-3 rooms, are under 100 square meters, and sit on lower-to-mid floors. These distributions suggest that much of the dataset represents typical mid-range housing, with a smaller tail of luxury properties driving the skew.</w:t>
      </w:r>
    </w:p>
    <w:p w14:paraId="5A7B7992" w14:textId="77777777" w:rsidR="0073083B" w:rsidRDefault="0073083B" w:rsidP="007036BD">
      <w:pPr>
        <w:spacing w:line="240" w:lineRule="auto"/>
      </w:pPr>
    </w:p>
    <w:p w14:paraId="4DF3B280" w14:textId="77777777" w:rsidR="0073083B" w:rsidRDefault="00000000" w:rsidP="007036BD">
      <w:pPr>
        <w:spacing w:line="240" w:lineRule="auto"/>
      </w:pPr>
      <w:r>
        <w:t xml:space="preserve">Among categorical features, apartments in Moscow command a clear premium over the Moscow region, and renovation quality shows a strong price gradient: Designer renovations sit at the top, followed by European-style, Cosmetic, and Without renovation at the bottom. Apartment type also shows meaningful price differences, with </w:t>
      </w:r>
      <w:proofErr w:type="gramStart"/>
      <w:r>
        <w:t>New</w:t>
      </w:r>
      <w:proofErr w:type="gramEnd"/>
      <w:r>
        <w:t xml:space="preserve"> buildings priced higher on average than Secondary (resale) apartments. The dataset is roughly balanced between Moscow (city) and Moscow region, while Secondary apartments outnumber </w:t>
      </w:r>
      <w:proofErr w:type="gramStart"/>
      <w:r>
        <w:t>New</w:t>
      </w:r>
      <w:proofErr w:type="gramEnd"/>
      <w:r>
        <w:t xml:space="preserve"> buildings.</w:t>
      </w:r>
    </w:p>
    <w:p w14:paraId="1913C35A" w14:textId="77777777" w:rsidR="0073083B" w:rsidRDefault="00000000" w:rsidP="007036BD">
      <w:pPr>
        <w:pStyle w:val="Heading4"/>
        <w:spacing w:line="240" w:lineRule="auto"/>
        <w:rPr>
          <w:b/>
          <w:bCs/>
        </w:rPr>
      </w:pPr>
      <w:bookmarkStart w:id="6" w:name="_rez0l9gulr4" w:colFirst="0" w:colLast="0"/>
      <w:bookmarkEnd w:id="6"/>
      <w:r>
        <w:rPr>
          <w:b/>
          <w:bCs/>
        </w:rPr>
        <w:t>First Two Models Findings:</w:t>
      </w:r>
    </w:p>
    <w:p w14:paraId="263A07EC" w14:textId="77777777" w:rsidR="0073083B" w:rsidRDefault="0073083B" w:rsidP="007036BD">
      <w:pPr>
        <w:spacing w:line="240" w:lineRule="auto"/>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2"/>
        <w:gridCol w:w="3401"/>
        <w:gridCol w:w="2707"/>
      </w:tblGrid>
      <w:tr w:rsidR="0073083B" w14:paraId="0C5F4750" w14:textId="77777777">
        <w:trPr>
          <w:trHeight w:val="740"/>
        </w:trPr>
        <w:tc>
          <w:tcPr>
            <w:tcW w:w="3252" w:type="dxa"/>
            <w:tcBorders>
              <w:top w:val="nil"/>
              <w:left w:val="nil"/>
              <w:bottom w:val="nil"/>
              <w:right w:val="single" w:sz="5" w:space="0" w:color="000000"/>
            </w:tcBorders>
            <w:tcMar>
              <w:top w:w="100" w:type="dxa"/>
              <w:left w:w="100" w:type="dxa"/>
              <w:bottom w:w="100" w:type="dxa"/>
              <w:right w:w="100" w:type="dxa"/>
            </w:tcMar>
          </w:tcPr>
          <w:p w14:paraId="1B4EB35E"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b/>
                <w:bCs/>
                <w:color w:val="C3C2B7"/>
                <w:sz w:val="21"/>
                <w:szCs w:val="21"/>
              </w:rPr>
              <w:t>Metric</w:t>
            </w:r>
          </w:p>
        </w:tc>
        <w:tc>
          <w:tcPr>
            <w:tcW w:w="3400" w:type="dxa"/>
            <w:tcBorders>
              <w:top w:val="nil"/>
              <w:left w:val="nil"/>
              <w:bottom w:val="nil"/>
              <w:right w:val="single" w:sz="5" w:space="0" w:color="000000"/>
            </w:tcBorders>
            <w:tcMar>
              <w:top w:w="100" w:type="dxa"/>
              <w:left w:w="100" w:type="dxa"/>
              <w:bottom w:w="100" w:type="dxa"/>
              <w:right w:w="100" w:type="dxa"/>
            </w:tcMar>
          </w:tcPr>
          <w:p w14:paraId="3543CD54"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b/>
                <w:bCs/>
                <w:color w:val="C3C2B7"/>
                <w:sz w:val="21"/>
                <w:szCs w:val="21"/>
              </w:rPr>
              <w:t>OLS (Baseline)</w:t>
            </w:r>
          </w:p>
        </w:tc>
        <w:tc>
          <w:tcPr>
            <w:tcW w:w="2706" w:type="dxa"/>
            <w:tcBorders>
              <w:top w:val="nil"/>
              <w:left w:val="nil"/>
              <w:bottom w:val="nil"/>
              <w:right w:val="nil"/>
            </w:tcBorders>
            <w:tcMar>
              <w:top w:w="100" w:type="dxa"/>
              <w:left w:w="100" w:type="dxa"/>
              <w:bottom w:w="100" w:type="dxa"/>
              <w:right w:w="100" w:type="dxa"/>
            </w:tcMar>
          </w:tcPr>
          <w:p w14:paraId="0528E17E"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b/>
                <w:bCs/>
                <w:color w:val="C3C2B7"/>
                <w:sz w:val="21"/>
                <w:szCs w:val="21"/>
              </w:rPr>
              <w:t>Lasso (CV)</w:t>
            </w:r>
          </w:p>
        </w:tc>
      </w:tr>
      <w:tr w:rsidR="0073083B" w14:paraId="34836113" w14:textId="77777777">
        <w:trPr>
          <w:trHeight w:val="755"/>
        </w:trPr>
        <w:tc>
          <w:tcPr>
            <w:tcW w:w="3252" w:type="dxa"/>
            <w:tcBorders>
              <w:top w:val="nil"/>
              <w:left w:val="nil"/>
              <w:bottom w:val="nil"/>
              <w:right w:val="single" w:sz="5" w:space="0" w:color="000000"/>
            </w:tcBorders>
            <w:tcMar>
              <w:top w:w="100" w:type="dxa"/>
              <w:left w:w="100" w:type="dxa"/>
              <w:bottom w:w="100" w:type="dxa"/>
              <w:right w:w="100" w:type="dxa"/>
            </w:tcMar>
          </w:tcPr>
          <w:p w14:paraId="3E3F85CE"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Train R²</w:t>
            </w:r>
          </w:p>
        </w:tc>
        <w:tc>
          <w:tcPr>
            <w:tcW w:w="3400" w:type="dxa"/>
            <w:tcBorders>
              <w:top w:val="nil"/>
              <w:left w:val="nil"/>
              <w:bottom w:val="nil"/>
              <w:right w:val="single" w:sz="5" w:space="0" w:color="000000"/>
            </w:tcBorders>
            <w:tcMar>
              <w:top w:w="100" w:type="dxa"/>
              <w:left w:w="100" w:type="dxa"/>
              <w:bottom w:w="100" w:type="dxa"/>
              <w:right w:w="100" w:type="dxa"/>
            </w:tcMar>
          </w:tcPr>
          <w:p w14:paraId="25FCFD17"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0.8599</w:t>
            </w:r>
          </w:p>
        </w:tc>
        <w:tc>
          <w:tcPr>
            <w:tcW w:w="2706" w:type="dxa"/>
            <w:tcBorders>
              <w:top w:val="nil"/>
              <w:left w:val="nil"/>
              <w:bottom w:val="nil"/>
              <w:right w:val="nil"/>
            </w:tcBorders>
            <w:tcMar>
              <w:top w:w="100" w:type="dxa"/>
              <w:left w:w="100" w:type="dxa"/>
              <w:bottom w:w="100" w:type="dxa"/>
              <w:right w:w="100" w:type="dxa"/>
            </w:tcMar>
          </w:tcPr>
          <w:p w14:paraId="7586193E"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0.8599</w:t>
            </w:r>
          </w:p>
        </w:tc>
      </w:tr>
      <w:tr w:rsidR="0073083B" w14:paraId="19F4C066" w14:textId="77777777">
        <w:trPr>
          <w:trHeight w:val="755"/>
        </w:trPr>
        <w:tc>
          <w:tcPr>
            <w:tcW w:w="3252" w:type="dxa"/>
            <w:tcBorders>
              <w:top w:val="nil"/>
              <w:left w:val="nil"/>
              <w:bottom w:val="nil"/>
              <w:right w:val="single" w:sz="5" w:space="0" w:color="000000"/>
            </w:tcBorders>
            <w:tcMar>
              <w:top w:w="100" w:type="dxa"/>
              <w:left w:w="100" w:type="dxa"/>
              <w:bottom w:w="100" w:type="dxa"/>
              <w:right w:w="100" w:type="dxa"/>
            </w:tcMar>
          </w:tcPr>
          <w:p w14:paraId="2F2FF1FE"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lastRenderedPageBreak/>
              <w:t>Test R²</w:t>
            </w:r>
          </w:p>
        </w:tc>
        <w:tc>
          <w:tcPr>
            <w:tcW w:w="3400" w:type="dxa"/>
            <w:tcBorders>
              <w:top w:val="nil"/>
              <w:left w:val="nil"/>
              <w:bottom w:val="nil"/>
              <w:right w:val="single" w:sz="5" w:space="0" w:color="000000"/>
            </w:tcBorders>
            <w:tcMar>
              <w:top w:w="100" w:type="dxa"/>
              <w:left w:w="100" w:type="dxa"/>
              <w:bottom w:w="100" w:type="dxa"/>
              <w:right w:w="100" w:type="dxa"/>
            </w:tcMar>
          </w:tcPr>
          <w:p w14:paraId="5D6359D0"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0.8694</w:t>
            </w:r>
          </w:p>
        </w:tc>
        <w:tc>
          <w:tcPr>
            <w:tcW w:w="2706" w:type="dxa"/>
            <w:tcBorders>
              <w:top w:val="nil"/>
              <w:left w:val="nil"/>
              <w:bottom w:val="nil"/>
              <w:right w:val="nil"/>
            </w:tcBorders>
            <w:tcMar>
              <w:top w:w="100" w:type="dxa"/>
              <w:left w:w="100" w:type="dxa"/>
              <w:bottom w:w="100" w:type="dxa"/>
              <w:right w:w="100" w:type="dxa"/>
            </w:tcMar>
          </w:tcPr>
          <w:p w14:paraId="477977C6"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0.8694</w:t>
            </w:r>
          </w:p>
        </w:tc>
      </w:tr>
      <w:tr w:rsidR="0073083B" w14:paraId="1CB0BDC3" w14:textId="77777777">
        <w:trPr>
          <w:trHeight w:val="755"/>
        </w:trPr>
        <w:tc>
          <w:tcPr>
            <w:tcW w:w="3252" w:type="dxa"/>
            <w:tcBorders>
              <w:top w:val="nil"/>
              <w:left w:val="nil"/>
              <w:bottom w:val="nil"/>
              <w:right w:val="single" w:sz="5" w:space="0" w:color="000000"/>
            </w:tcBorders>
            <w:tcMar>
              <w:top w:w="100" w:type="dxa"/>
              <w:left w:w="100" w:type="dxa"/>
              <w:bottom w:w="100" w:type="dxa"/>
              <w:right w:w="100" w:type="dxa"/>
            </w:tcMar>
          </w:tcPr>
          <w:p w14:paraId="5D85B7E2"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RMSE (log)</w:t>
            </w:r>
          </w:p>
        </w:tc>
        <w:tc>
          <w:tcPr>
            <w:tcW w:w="3400" w:type="dxa"/>
            <w:tcBorders>
              <w:top w:val="nil"/>
              <w:left w:val="nil"/>
              <w:bottom w:val="nil"/>
              <w:right w:val="single" w:sz="5" w:space="0" w:color="000000"/>
            </w:tcBorders>
            <w:tcMar>
              <w:top w:w="100" w:type="dxa"/>
              <w:left w:w="100" w:type="dxa"/>
              <w:bottom w:w="100" w:type="dxa"/>
              <w:right w:w="100" w:type="dxa"/>
            </w:tcMar>
          </w:tcPr>
          <w:p w14:paraId="6DEC4718"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0.3888</w:t>
            </w:r>
          </w:p>
        </w:tc>
        <w:tc>
          <w:tcPr>
            <w:tcW w:w="2706" w:type="dxa"/>
            <w:tcBorders>
              <w:top w:val="nil"/>
              <w:left w:val="nil"/>
              <w:bottom w:val="nil"/>
              <w:right w:val="nil"/>
            </w:tcBorders>
            <w:tcMar>
              <w:top w:w="100" w:type="dxa"/>
              <w:left w:w="100" w:type="dxa"/>
              <w:bottom w:w="100" w:type="dxa"/>
              <w:right w:w="100" w:type="dxa"/>
            </w:tcMar>
          </w:tcPr>
          <w:p w14:paraId="1C705670"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0.3889</w:t>
            </w:r>
          </w:p>
        </w:tc>
      </w:tr>
      <w:tr w:rsidR="0073083B" w14:paraId="2FEB92B3" w14:textId="77777777">
        <w:trPr>
          <w:trHeight w:val="740"/>
        </w:trPr>
        <w:tc>
          <w:tcPr>
            <w:tcW w:w="3252" w:type="dxa"/>
            <w:tcBorders>
              <w:top w:val="nil"/>
              <w:left w:val="nil"/>
              <w:bottom w:val="nil"/>
              <w:right w:val="single" w:sz="5" w:space="0" w:color="000000"/>
            </w:tcBorders>
            <w:tcMar>
              <w:top w:w="100" w:type="dxa"/>
              <w:left w:w="100" w:type="dxa"/>
              <w:bottom w:w="100" w:type="dxa"/>
              <w:right w:w="100" w:type="dxa"/>
            </w:tcMar>
          </w:tcPr>
          <w:p w14:paraId="436CA8B9"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Features used</w:t>
            </w:r>
          </w:p>
        </w:tc>
        <w:tc>
          <w:tcPr>
            <w:tcW w:w="3400" w:type="dxa"/>
            <w:tcBorders>
              <w:top w:val="nil"/>
              <w:left w:val="nil"/>
              <w:bottom w:val="nil"/>
              <w:right w:val="single" w:sz="5" w:space="0" w:color="000000"/>
            </w:tcBorders>
            <w:tcMar>
              <w:top w:w="100" w:type="dxa"/>
              <w:left w:w="100" w:type="dxa"/>
              <w:bottom w:w="100" w:type="dxa"/>
              <w:right w:w="100" w:type="dxa"/>
            </w:tcMar>
          </w:tcPr>
          <w:p w14:paraId="3A91949A"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12</w:t>
            </w:r>
          </w:p>
        </w:tc>
        <w:tc>
          <w:tcPr>
            <w:tcW w:w="2706" w:type="dxa"/>
            <w:tcBorders>
              <w:top w:val="nil"/>
              <w:left w:val="nil"/>
              <w:bottom w:val="nil"/>
              <w:right w:val="nil"/>
            </w:tcBorders>
            <w:tcMar>
              <w:top w:w="100" w:type="dxa"/>
              <w:left w:w="100" w:type="dxa"/>
              <w:bottom w:w="100" w:type="dxa"/>
              <w:right w:w="100" w:type="dxa"/>
            </w:tcMar>
          </w:tcPr>
          <w:p w14:paraId="7DFEB826" w14:textId="77777777" w:rsidR="0073083B" w:rsidRDefault="00000000" w:rsidP="007036BD">
            <w:pPr>
              <w:spacing w:line="240" w:lineRule="auto"/>
              <w:rPr>
                <w:rFonts w:ascii="Roboto" w:eastAsia="Roboto" w:hAnsi="Roboto" w:cs="Roboto"/>
                <w:color w:val="F8F8F6"/>
                <w:sz w:val="21"/>
                <w:szCs w:val="21"/>
              </w:rPr>
            </w:pPr>
            <w:r>
              <w:rPr>
                <w:rFonts w:ascii="Roboto" w:eastAsia="Roboto" w:hAnsi="Roboto" w:cs="Roboto"/>
                <w:color w:val="C3C2B7"/>
                <w:sz w:val="21"/>
                <w:szCs w:val="21"/>
              </w:rPr>
              <w:t>11</w:t>
            </w:r>
          </w:p>
        </w:tc>
      </w:tr>
    </w:tbl>
    <w:p w14:paraId="7B67B178" w14:textId="77777777" w:rsidR="0073083B" w:rsidRDefault="00000000" w:rsidP="007036BD">
      <w:pPr>
        <w:spacing w:line="240" w:lineRule="auto"/>
        <w:jc w:val="center"/>
        <w:rPr>
          <w:i/>
          <w:iCs/>
        </w:rPr>
      </w:pPr>
      <w:r>
        <w:rPr>
          <w:i/>
          <w:iCs/>
        </w:rPr>
        <w:t>Table 1: OLS Baseline and Lasso Regression Comparison</w:t>
      </w:r>
    </w:p>
    <w:p w14:paraId="54103DA1" w14:textId="77777777" w:rsidR="0073083B" w:rsidRDefault="00000000" w:rsidP="007036BD">
      <w:pPr>
        <w:spacing w:line="240" w:lineRule="auto"/>
      </w:pPr>
      <w:r>
        <w:rPr>
          <w:b/>
          <w:bCs/>
        </w:rPr>
        <w:t>OLS Results:</w:t>
      </w:r>
      <w:r>
        <w:t xml:space="preserve"> The baseline OLS model explained approximately 87% of the variance in </w:t>
      </w:r>
      <w:proofErr w:type="gramStart"/>
      <w:r>
        <w:t>log(</w:t>
      </w:r>
      <w:proofErr w:type="gramEnd"/>
      <w:r>
        <w:t xml:space="preserve">Price) on the test set, with nearly identical train and test performance, suggesting good generalization. Coefficient analysis revealed that categorical features like Designer renovation, Region (Moscow), and Without renovation (negative effect) had the largest absolute </w:t>
      </w:r>
      <w:proofErr w:type="gramStart"/>
      <w:r>
        <w:t>coefficients</w:t>
      </w:r>
      <w:proofErr w:type="gramEnd"/>
      <w:r>
        <w:t>, while continuous features like Area exert smaller per-unit effects but remain important due to their range.</w:t>
      </w:r>
    </w:p>
    <w:p w14:paraId="0E193F34" w14:textId="77777777" w:rsidR="0073083B" w:rsidRDefault="0073083B" w:rsidP="007036BD">
      <w:pPr>
        <w:spacing w:line="240" w:lineRule="auto"/>
      </w:pPr>
    </w:p>
    <w:p w14:paraId="799A6F13" w14:textId="77777777" w:rsidR="0073083B" w:rsidRDefault="00000000" w:rsidP="007036BD">
      <w:pPr>
        <w:spacing w:line="240" w:lineRule="auto"/>
      </w:pPr>
      <w:r>
        <w:rPr>
          <w:b/>
          <w:bCs/>
        </w:rPr>
        <w:t xml:space="preserve">Lasso Results: </w:t>
      </w:r>
      <w:r>
        <w:t>Lasso regression with 10-fold CV selected an optimal alpha of 0.000852 and zeroed out one feature: Floor. This confirms the EDA finding that floor number is not a meaningful predictor once other features are accounted for. Despite the high collinearity between Area and Living area, Lasso retained both but heavily penalized Living area (coefficient of 0.02 vs. 0.40 for Area), effectively identifying Area as the dominant size predictor. Overall performance was virtually identical to OLS, indicating the original feature set was already lean with little noise to regularize away.</w:t>
      </w:r>
    </w:p>
    <w:p w14:paraId="34A42D28" w14:textId="77777777" w:rsidR="0073083B" w:rsidRDefault="00000000" w:rsidP="007036BD">
      <w:pPr>
        <w:pStyle w:val="Heading3"/>
        <w:spacing w:line="240" w:lineRule="auto"/>
      </w:pPr>
      <w:bookmarkStart w:id="7" w:name="_gqci8t4jzsq0" w:colFirst="0" w:colLast="0"/>
      <w:bookmarkEnd w:id="7"/>
      <w:r>
        <w:rPr>
          <w:b/>
          <w:bCs/>
        </w:rPr>
        <w:t>Completion Plan:</w:t>
      </w:r>
    </w:p>
    <w:p w14:paraId="196517BF" w14:textId="77777777" w:rsidR="0073083B" w:rsidRDefault="00000000" w:rsidP="007036BD">
      <w:pPr>
        <w:spacing w:line="240" w:lineRule="auto"/>
      </w:pPr>
      <w:r>
        <w:rPr>
          <w:b/>
          <w:bCs/>
        </w:rPr>
        <w:t>Additional Models:</w:t>
      </w:r>
    </w:p>
    <w:p w14:paraId="564CC769" w14:textId="77777777" w:rsidR="0073083B" w:rsidRDefault="00000000" w:rsidP="007036BD">
      <w:pPr>
        <w:numPr>
          <w:ilvl w:val="0"/>
          <w:numId w:val="2"/>
        </w:numPr>
        <w:spacing w:line="240" w:lineRule="auto"/>
      </w:pPr>
      <w:r>
        <w:t>Fit Ridge regression to compare L2 regularization against Lasso's L1 approach and evaluate whether retaining all features with shrunken coefficients improves prediction.</w:t>
      </w:r>
    </w:p>
    <w:p w14:paraId="5A8AFCDB" w14:textId="77777777" w:rsidR="0073083B" w:rsidRDefault="00000000" w:rsidP="007036BD">
      <w:pPr>
        <w:numPr>
          <w:ilvl w:val="0"/>
          <w:numId w:val="2"/>
        </w:numPr>
        <w:spacing w:line="240" w:lineRule="auto"/>
      </w:pPr>
      <w:r>
        <w:t>Implement Decision Tree and Random Forest regression with hyperparameter tuning via grid search or randomized cross-validation to capture nonlinear relationships the linear models may be missing.</w:t>
      </w:r>
    </w:p>
    <w:p w14:paraId="2113451D" w14:textId="77777777" w:rsidR="0073083B" w:rsidRDefault="00000000" w:rsidP="007036BD">
      <w:pPr>
        <w:numPr>
          <w:ilvl w:val="0"/>
          <w:numId w:val="2"/>
        </w:numPr>
        <w:spacing w:line="240" w:lineRule="auto"/>
      </w:pPr>
      <w:r>
        <w:t>Fit an AdaBoost regression model to explore whether boosting-based ensembles offer improvement over bagging approaches like Random Forest.</w:t>
      </w:r>
    </w:p>
    <w:p w14:paraId="7B4F1E0E" w14:textId="77777777" w:rsidR="0073083B" w:rsidRDefault="00000000" w:rsidP="007036BD">
      <w:pPr>
        <w:numPr>
          <w:ilvl w:val="0"/>
          <w:numId w:val="2"/>
        </w:numPr>
        <w:spacing w:line="240" w:lineRule="auto"/>
      </w:pPr>
      <w:r>
        <w:t xml:space="preserve">Build a Neural Network regression model in </w:t>
      </w:r>
      <w:proofErr w:type="spellStart"/>
      <w:r>
        <w:t>PyTorch</w:t>
      </w:r>
      <w:proofErr w:type="spellEnd"/>
      <w:r>
        <w:t xml:space="preserve"> to test whether a flexible nonlinear architecture can push beyond the R² = 0.87 ceiling of the linear models.</w:t>
      </w:r>
    </w:p>
    <w:p w14:paraId="25410BF4" w14:textId="77777777" w:rsidR="0073083B" w:rsidRDefault="00000000" w:rsidP="007036BD">
      <w:pPr>
        <w:spacing w:line="240" w:lineRule="auto"/>
        <w:rPr>
          <w:b/>
          <w:bCs/>
        </w:rPr>
      </w:pPr>
      <w:r>
        <w:rPr>
          <w:b/>
          <w:bCs/>
        </w:rPr>
        <w:t>Feature Engineering and Additional Analysis:</w:t>
      </w:r>
    </w:p>
    <w:p w14:paraId="4B7455B3" w14:textId="77777777" w:rsidR="0073083B" w:rsidRDefault="00000000" w:rsidP="007036BD">
      <w:pPr>
        <w:numPr>
          <w:ilvl w:val="0"/>
          <w:numId w:val="3"/>
        </w:numPr>
        <w:spacing w:line="240" w:lineRule="auto"/>
      </w:pPr>
      <w:r>
        <w:t>Investigate ways to incorporate Metro station information, such as target encoding or grouping stations by geographic proximity or average price, rather than dropping it entirely.</w:t>
      </w:r>
    </w:p>
    <w:p w14:paraId="4908877F" w14:textId="77777777" w:rsidR="0073083B" w:rsidRDefault="00000000" w:rsidP="007036BD">
      <w:pPr>
        <w:numPr>
          <w:ilvl w:val="0"/>
          <w:numId w:val="3"/>
        </w:numPr>
        <w:spacing w:line="240" w:lineRule="auto"/>
      </w:pPr>
      <w:r>
        <w:t>Explore interaction terms (e.g., Area x Region) and derived features (e.g., price per square meter, floor-to-building-height ratio) that may improve predictive power.</w:t>
      </w:r>
    </w:p>
    <w:p w14:paraId="6742FA50" w14:textId="77777777" w:rsidR="0073083B" w:rsidRDefault="00000000" w:rsidP="007036BD">
      <w:pPr>
        <w:numPr>
          <w:ilvl w:val="0"/>
          <w:numId w:val="3"/>
        </w:numPr>
        <w:spacing w:line="240" w:lineRule="auto"/>
      </w:pPr>
      <w:r>
        <w:t>Run residual diagnostics on the OLS model to check for systematic patterns the current models are not capturing.</w:t>
      </w:r>
    </w:p>
    <w:p w14:paraId="0F89AD7A" w14:textId="77777777" w:rsidR="0073083B" w:rsidRDefault="00000000" w:rsidP="007036BD">
      <w:pPr>
        <w:numPr>
          <w:ilvl w:val="0"/>
          <w:numId w:val="3"/>
        </w:numPr>
        <w:spacing w:line="240" w:lineRule="auto"/>
      </w:pPr>
      <w:r>
        <w:t xml:space="preserve">Use Lasso's selected features in a </w:t>
      </w:r>
      <w:proofErr w:type="spellStart"/>
      <w:r>
        <w:t>statsmodels</w:t>
      </w:r>
      <w:proofErr w:type="spellEnd"/>
      <w:r>
        <w:t xml:space="preserve"> OLS for formal inference, including confidence intervals and p-values, to support the explainability goals of the project.</w:t>
      </w:r>
    </w:p>
    <w:p w14:paraId="2FD0CFB4" w14:textId="77777777" w:rsidR="0073083B" w:rsidRDefault="00000000" w:rsidP="007036BD">
      <w:pPr>
        <w:spacing w:line="240" w:lineRule="auto"/>
        <w:rPr>
          <w:b/>
          <w:bCs/>
        </w:rPr>
      </w:pPr>
      <w:r>
        <w:rPr>
          <w:b/>
          <w:bCs/>
        </w:rPr>
        <w:t>Final Deliverables:</w:t>
      </w:r>
    </w:p>
    <w:p w14:paraId="78BCF092" w14:textId="77777777" w:rsidR="0073083B" w:rsidRDefault="00000000" w:rsidP="007036BD">
      <w:pPr>
        <w:numPr>
          <w:ilvl w:val="0"/>
          <w:numId w:val="1"/>
        </w:numPr>
        <w:spacing w:line="240" w:lineRule="auto"/>
      </w:pPr>
      <w:r>
        <w:lastRenderedPageBreak/>
        <w:t>Compare all models on a unified set of metrics (R², RMSE, MAE) and select the best-performing approach.</w:t>
      </w:r>
    </w:p>
    <w:p w14:paraId="03661C7C" w14:textId="77777777" w:rsidR="0073083B" w:rsidRDefault="00000000" w:rsidP="007036BD">
      <w:pPr>
        <w:numPr>
          <w:ilvl w:val="0"/>
          <w:numId w:val="1"/>
        </w:numPr>
        <w:spacing w:line="240" w:lineRule="auto"/>
      </w:pPr>
      <w:r>
        <w:t>Prepare the final report, abstract, and presentation.</w:t>
      </w:r>
    </w:p>
    <w:sectPr w:rsidR="007308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4C90CB8-BDF7-49DE-8831-96353DCD29EE}"/>
    <w:embedBold r:id="rId2" w:fontKey="{EAEFC626-9D57-4482-8519-73C7C8C985FF}"/>
  </w:font>
  <w:font w:name="Calibri">
    <w:panose1 w:val="020F0502020204030204"/>
    <w:charset w:val="00"/>
    <w:family w:val="swiss"/>
    <w:pitch w:val="variable"/>
    <w:sig w:usb0="E4002EFF" w:usb1="C200247B" w:usb2="00000009" w:usb3="00000000" w:csb0="000001FF" w:csb1="00000000"/>
    <w:embedRegular r:id="rId3" w:fontKey="{86AAB616-3094-4D5C-AE2B-B2BC7182F347}"/>
  </w:font>
  <w:font w:name="Cambria">
    <w:panose1 w:val="02040503050406030204"/>
    <w:charset w:val="00"/>
    <w:family w:val="roman"/>
    <w:pitch w:val="variable"/>
    <w:sig w:usb0="E00006FF" w:usb1="420024FF" w:usb2="02000000" w:usb3="00000000" w:csb0="0000019F" w:csb1="00000000"/>
    <w:embedRegular r:id="rId4" w:fontKey="{47C79372-0202-4D99-B2CB-17CC32296D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BC9"/>
    <w:multiLevelType w:val="multilevel"/>
    <w:tmpl w:val="EFCE7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B6064A"/>
    <w:multiLevelType w:val="multilevel"/>
    <w:tmpl w:val="CE6CC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ED3284"/>
    <w:multiLevelType w:val="multilevel"/>
    <w:tmpl w:val="3C12F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089346">
    <w:abstractNumId w:val="0"/>
  </w:num>
  <w:num w:numId="2" w16cid:durableId="320281369">
    <w:abstractNumId w:val="1"/>
  </w:num>
  <w:num w:numId="3" w16cid:durableId="2104759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83B"/>
    <w:rsid w:val="007036BD"/>
    <w:rsid w:val="0073083B"/>
    <w:rsid w:val="00D3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D5DD"/>
  <w15:docId w15:val="{26CB7717-58DE-4FDD-8036-E9F64C0C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2C2C2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egorkainov/moscow-housing-price-dataset/dat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Jiwon Hicks</cp:lastModifiedBy>
  <cp:revision>3</cp:revision>
  <dcterms:created xsi:type="dcterms:W3CDTF">2026-04-12T22:14:00Z</dcterms:created>
  <dcterms:modified xsi:type="dcterms:W3CDTF">2026-04-12T22:19:00Z</dcterms:modified>
</cp:coreProperties>
</file>