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</w:rPr>
        <w:t>社交媒体身体评价论文审稿纠错清单</w:t>
      </w:r>
    </w:p>
    <w:p>
      <w:pPr>
        <w:jc w:val="center"/>
      </w:pPr>
      <w:r>
        <w:rPr>
          <w:rFonts w:ascii="SimSun" w:hAnsi="SimSun" w:eastAsia="SimSun"/>
          <w:b w:val="0"/>
          <w:i w:val="0"/>
          <w:color w:val="666666"/>
          <w:sz w:val="20"/>
        </w:rPr>
        <w:t xml:space="preserve">针对 </w:t>
      </w:r>
      <w:r>
        <w:rPr>
          <w:rFonts w:ascii="SimSun" w:hAnsi="SimSun" w:eastAsia="SimSun"/>
          <w:b w:val="0"/>
          <w:i/>
          <w:color w:val="666666"/>
          <w:sz w:val="20"/>
        </w:rPr>
        <w:t>Social_Media_Body_Review_Draft.docx</w:t>
      </w:r>
      <w:r>
        <w:rPr>
          <w:rFonts w:ascii="SimSun" w:hAnsi="SimSun" w:eastAsia="SimSun"/>
          <w:b w:val="0"/>
          <w:i w:val="0"/>
          <w:color w:val="666666"/>
          <w:sz w:val="20"/>
        </w:rPr>
        <w:t xml:space="preserve"> 的学术审稿与事实核查结果</w:t>
      </w:r>
    </w:p>
    <w:p>
      <w:pPr>
        <w:jc w:val="center"/>
      </w:pPr>
      <w:r>
        <w:rPr>
          <w:rFonts w:ascii="SimSun" w:hAnsi="SimSun" w:eastAsia="SimSun"/>
          <w:b w:val="0"/>
          <w:i w:val="0"/>
          <w:color w:val="666666"/>
          <w:sz w:val="18"/>
        </w:rPr>
        <w:t>审查日期：2026年9月14日  |  原稿状态：只读，未修改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top w:val="single" w:sz="8" w:color="9CC2E5"/>
              <w:left w:val="single" w:sz="8" w:color="9CC2E5"/>
              <w:bottom w:val="single" w:sz="8" w:color="9CC2E5"/>
              <w:right w:val="single" w:sz="8" w:color="9CC2E5"/>
              <w:insideH w:val="single" w:sz="8" w:color="9CC2E5"/>
              <w:insideV w:val="single" w:sz="8" w:color="9CC2E5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SimSun" w:hAnsi="SimSun" w:eastAsia="SimSun"/>
                <w:b/>
                <w:i w:val="0"/>
                <w:color w:val="17365D"/>
                <w:sz w:val="22"/>
              </w:rPr>
              <w:t>审稿结论：</w:t>
            </w:r>
            <w:r>
              <w:rPr>
                <w:rFonts w:ascii="SimSun" w:hAnsi="SimSun" w:eastAsia="SimSun"/>
                <w:b/>
                <w:i w:val="0"/>
                <w:color w:val="9C0006"/>
                <w:sz w:val="22"/>
              </w:rPr>
              <w:t>大修后再审，不建议按现稿提交。</w:t>
            </w:r>
          </w:p>
          <w:p>
            <w:pPr>
              <w:spacing w:after="0"/>
            </w:pPr>
            <w:r>
              <w:rPr>
                <w:rFonts w:ascii="SimSun" w:hAnsi="SimSun" w:eastAsia="SimSun"/>
              </w:rPr>
              <w:t>主要问题不是文献虚构，而是研究问题、证据层级和结论强度不匹配：稿件将外貌导向内容/活动、自拍行为、点赞或评论反馈、身体意象和饮食行为合并为一条较强链条，但现有31项材料不能直接支持这一总链条。</w:t>
            </w:r>
          </w:p>
        </w:tc>
      </w:tr>
    </w:tbl>
    <w:p>
      <w:pPr>
        <w:pStyle w:val="Heading1"/>
        <w:keepNext/>
      </w:pPr>
      <w:r>
        <w:rPr>
          <w:rFonts w:ascii="SimSun" w:hAnsi="SimSun" w:eastAsia="SimSun"/>
        </w:rPr>
        <w:t>一、审查范围与总体核验结果</w:t>
      </w:r>
    </w:p>
    <w:p>
      <w:r>
        <w:rPr>
          <w:rFonts w:ascii="SimSun" w:hAnsi="SimSun" w:eastAsia="SimSun"/>
        </w:rPr>
        <w:t>审查对象：Social_Media_Body_Review_Draft.docx；审查方式为只读解析、结构与编号核查、文献书目信息核验、DOI注册记录核验、可获取摘要核对和渲染版式检查。</w:t>
      </w:r>
    </w:p>
    <w:p>
      <w:r>
        <w:rPr>
          <w:rFonts w:ascii="SimSun" w:hAnsi="SimSun" w:eastAsia="SimSun"/>
        </w:rPr>
        <w:t>原稿共31条参考文献：27条带 DOI 的期刊文章均在 Crossref 中按所列 DOI 检出，题名、作者、年份、期刊、卷期及页码/文章号与原稿匹配；4条无 DOI 的理论专著均为可识别的学术专著。未发现 DOI 指向另一篇文章、重复条目或明确撤稿证据。</w:t>
      </w:r>
    </w:p>
    <w:p>
      <w:r>
        <w:rPr>
          <w:rFonts w:ascii="SimSun" w:hAnsi="SimSun" w:eastAsia="SimSun"/>
        </w:rPr>
        <w:t>本文并非系统综述；不要求机械补齐 PRISMA，但现有叙事综述的选材和综合过程仍不足以支撑领域总体性结论。</w:t>
      </w:r>
    </w:p>
    <w:p>
      <w:pPr>
        <w:pStyle w:val="Heading1"/>
        <w:keepNext/>
      </w:pPr>
      <w:r>
        <w:rPr>
          <w:rFonts w:ascii="SimSun" w:hAnsi="SimSun" w:eastAsia="SimSun"/>
        </w:rPr>
        <w:t>二、必须优先完成的纠错清单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691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1756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684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908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为什么需要改</w:t>
            </w:r>
          </w:p>
        </w:tc>
        <w:tc>
          <w:tcPr>
            <w:tcW w:type="dxa" w:w="2908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最小可执行修订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9C0006"/>
                <w:sz w:val="16"/>
              </w:rPr>
              <w:t>P0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标题、摘要P7、P10–11、P40–44、表1、P68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研究问题与证据对象不匹配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标题将 comments、likes、appearance-focused images 和 eating behavior 合并为“body evaluation”主问题；但大多数证据实际针对内容/活动与身体意象。直接研究评论或点赞对饮食行为的证据很少。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二选一：收窄标题为“外貌导向社交媒体内容/活动与女性身体意象”，并明确反馈与饮食结局证据有限；或保留标题，但增加“暴露类型×结局”的证据矩阵，并将缺少直接证据的单元格明确标出。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9C0006"/>
                <w:sz w:val="16"/>
              </w:rPr>
              <w:t>P0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P33、P48、P50、图1、P68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将性别刻板印象写成已验证中介/因果路径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正文承认实证研究很少直接测量 stereotypes；薄理想内化、外貌比较、自我物化与性别刻板印象不能互换。图中的实线箭头会被理解为已验证因果链。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统一改为“提出的理论解释”。P68 将 “give the association its direction” 改为 “may provide a gendered interpretive context”；删除或补证 P50 的“several studies trace that path”；图中未经直接检验的箭头改虚线，并拆开两个中介与两个结局。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9C0006"/>
                <w:sz w:val="16"/>
              </w:rPr>
              <w:t>P0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摘要P7、P40、表1、P68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将“时长未呈一致关联”升级为“内容比时长更重要”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特定本科生样本中时长未呈一致关联，不等于时长无关，更不等于内容在统计或因果上更重要；由此提出干预优先级也超出证据。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统一改为：在本文所综述的一些研究中，内容特异指标的关联比总时长更一致，但直接比较与因果证据有限。表1改为“duration was not consistently associated in the cited samples”。干预表述改为待检验命题。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9C0006"/>
                <w:sz w:val="16"/>
              </w:rPr>
              <w:t>P0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P16、P57–61、摘要、结论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女性专属结论混入混合性别和传统媒体研究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[29]、[30]含男性；[27]、[28]是大众/appearance media，而不是评论、点赞或平台反馈。全样本结果不能自动外推为女性社交媒体机制。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给每项研究标记女性样本、混合样本有无女性分层、内容分析、访谈、传统媒体背景。无女性分层的混合样本只能用于背景，不能支撑女性特异结论。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9C0006"/>
                <w:sz w:val="16"/>
              </w:rPr>
              <w:t>P0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P18–22、摘要P7、P68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叙事综述透明度不足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“curated set”起点、预设主题和“每主题有理论与实证来源即停止”会形成确认偏倚；未说明检索截止日期、数据库或理论著作与期刊文章的不同纳入规则。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明确写为 critical narrative review of a purposively selected corpus；补充检索截至日期、追溯方式、语言限制及两类材料的纳入标准；领域级措辞全部收窄为“本文所综述的研究”。附31项证据表。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7F6000"/>
                <w:sz w:val="16"/>
              </w:rPr>
              <w:t>P1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表1、图1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表图抹平研究设计差异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理论、横断面关联、短期实验、系统综述在表中被呈现为同等机制证据；图没有说明其为假设模型。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表1新增“设计/证据状态、样本/场景、结局、限制”列；图题改为 Figure 1，并在图注中声明为作者提出、尚待验证的综合模型。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7F6000"/>
                <w:sz w:val="16"/>
              </w:rPr>
              <w:t>P1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P50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[7][8]不支持社交媒体反馈到饮食的直接路径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[7]是理论文章，[8]是理论发展综述，不等于已经追踪 social-media stereotype feedback → eating 的路径。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没有直接原始实证时，删除“several studies trace that path”，改为理论预期；若该路径是中心论点，补入有中介检验与饮食结局的原始研究。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7F6000"/>
                <w:sz w:val="16"/>
              </w:rPr>
              <w:t>P1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P57–61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中国证据类型混杂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传统媒体、平台内容分析、访谈和混合样本心理模型被合并为“中国社交媒体机制”。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拆分为文化与传统媒体背景、中国平台内容、中国受众心理研究三部分，并在每段说明其可支持与不能支持的结论。</w:t>
            </w:r>
          </w:p>
        </w:tc>
      </w:tr>
      <w:tr>
        <w:tc>
          <w:tcPr>
            <w:tcW w:type="dxa" w:w="691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SimSun" w:hAnsi="SimSun" w:eastAsia="SimSun"/>
                <w:b/>
                <w:color w:val="7F6000"/>
                <w:sz w:val="16"/>
              </w:rPr>
              <w:t>P2</w:t>
            </w:r>
          </w:p>
        </w:tc>
        <w:tc>
          <w:tcPr>
            <w:tcW w:type="dxa" w:w="175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P19–20、格式</w:t>
            </w:r>
          </w:p>
        </w:tc>
        <w:tc>
          <w:tcPr>
            <w:tcW w:type="dxa" w:w="168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纳入标准和图表格式问题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P19称有4部专著，P20却把 peer-reviewed 写成统一条件；表题和图题无编号。</w:t>
            </w:r>
          </w:p>
        </w:tc>
        <w:tc>
          <w:tcPr>
            <w:tcW w:type="dxa" w:w="290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分开说明理论专著与实证/综述文章的纳入条件；按目标期刊体例补“Table 1.”、“Figure 1.”，并统一连续引文格式。</w:t>
            </w:r>
          </w:p>
        </w:tc>
      </w:tr>
    </w:tbl>
    <w:p>
      <w:pPr>
        <w:pStyle w:val="Heading1"/>
        <w:keepNext/>
      </w:pPr>
      <w:r>
        <w:rPr>
          <w:rFonts w:ascii="SimSun" w:hAnsi="SimSun" w:eastAsia="SimSun"/>
        </w:rPr>
        <w:t>三、文献真实性与 DOI 核验结论</w:t>
      </w:r>
    </w:p>
    <w:p>
      <w:pPr>
        <w:pStyle w:val="ListBullet"/>
        <w:spacing w:after="60"/>
      </w:pPr>
      <w:r>
        <w:rPr>
          <w:rFonts w:ascii="SimSun" w:hAnsi="SimSun" w:eastAsia="SimSun"/>
        </w:rPr>
        <w:t>带 DOI 的27条期刊文献均通过 Crossref DOI 记录核验；未见 DOI 题名、作者、年份、期刊、卷期或页码/文章号错配。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可获取 PubMed 记录的文章未显示 retraction publication type。对非 PubMed 收录的人文、传播和部分心理学文章，未将“未被 PubMed 收录”视为问题。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四部无 DOI 的理论专著没有虚构迹象，但投稿前应按实际使用版本补齐版次、出版地或 ISBN，特别是 Foucault 和 Bourdieu 的英语版本。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轻微书目信息规范化：McKinley and Hyde [9] 的注册题名为 The Objectified Body Consciousness Scale；原稿中的“Development and validation”可按期刊官网/目标格式决定是否保留副题。</w:t>
      </w:r>
    </w:p>
    <w:p>
      <w:pPr>
        <w:pStyle w:val="Heading1"/>
        <w:keepNext/>
      </w:pPr>
      <w:r>
        <w:rPr>
          <w:rFonts w:ascii="SimSun" w:hAnsi="SimSun" w:eastAsia="SimSun"/>
        </w:rPr>
        <w:t>四、关键引文与正文主张的准确表述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87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文献与位置</w:t>
            </w:r>
          </w:p>
        </w:tc>
        <w:tc>
          <w:tcPr>
            <w:tcW w:type="dxa" w:w="3427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核查结论</w:t>
            </w:r>
          </w:p>
        </w:tc>
        <w:tc>
          <w:tcPr>
            <w:tcW w:type="dxa" w:w="4536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SimSun" w:hAnsi="SimSun" w:eastAsia="SimSun"/>
                <w:b/>
                <w:color w:val="FFFFFF"/>
                <w:sz w:val="17"/>
              </w:rPr>
              <w:t>建议替代表述或处理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[1] Perloff，P10、P36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理论性综述/研究议程，不是直接实证结果。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将“Several studies connect … [1]”改为：Perloff 提出了理论性解释框架；下文原始研究提供对具体关联的直接证据。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[2] Holland &amp; Tiggemann，P12、P40、表1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系统综述支持特定 SNS 活动值得关注，但不能证明内容在所有情况下“比时长更重要”。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保留“appearance-focused activities may be relevant”，删除或收窄“what users do matters more than how long they stay”。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[15] Fardouly et al.，P38、P50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短期随机浏览实验支持即时情绪和特定外貌差异感；不支持长期饮食效应或广泛机制结论。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保留短期实验结果和外貌比较倾向调节；不从中推出长期、普遍或反馈特异机制。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[18] Sanzari et al.，P40、P52、P68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两个本科生队列的问卷/回归结果；weight-loss 内容与若干不良结果相关，总时长未呈关联。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明确样本、横断面设计和控制变量；不写成“内容因果上更重要”或干预已被证明。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[19] Bell 与 [20] Fox，P42、表1、P68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[19]为发布物化自拍、self-objectification 和 likes 的关联；[20]操纵自拍行为，不操纵收到点赞/评论。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改为两个不同证据：一个关于关联，一个关于自拍行为的短期实验；明确二者都未直接测试 likes/comments → eating。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[21]、[22] fitspiration，P44、P68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支持短期或汇总层面的身体不满意、外貌比较和负性情绪结果；不能外推为长期饮食行为。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将结论限定为短期/关联证据，避免从 fitspiration 直接推到长期 eating behavior。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[23] Dane &amp; Bhatia，P44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范围综述用于领域映射，不是直接机制实证。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仅作为研究图景或研究缺口来源，不与实验研究并列为特定因果路径证据。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[24] BoPo，P52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实验支持特定情境的短期改善，不支持长期作用或平台层面转型。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增加“in the short-term experimental setting”；与[18]并列时写成“证据跨研究并不一致”。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[27]、[28]，P57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中国/亚洲与西方大众或 appearance media 比较，不是社交媒体反馈研究。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从段首明确其为文化和传统媒体背景证据，不能作为 comments/likes 机制证据。</w:t>
            </w:r>
          </w:p>
        </w:tc>
      </w:tr>
      <w:tr>
        <w:tc>
          <w:tcPr>
            <w:tcW w:type="dxa" w:w="198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[29]、[30]，P59</w:t>
            </w:r>
          </w:p>
        </w:tc>
        <w:tc>
          <w:tcPr>
            <w:tcW w:type="dxa" w:w="342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混合性别样本；[30]中媒体注意对负性身体意象的直接效应不显著。</w:t>
            </w:r>
          </w:p>
        </w:tc>
        <w:tc>
          <w:tcPr>
            <w:tcW w:type="dxa" w:w="4536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/>
            </w:pPr>
            <w:r>
              <w:rPr>
                <w:rFonts w:ascii="SimSun" w:hAnsi="SimSun" w:eastAsia="SimSun"/>
                <w:sz w:val="16"/>
              </w:rPr>
              <w:t>保留其关于相关构念和间接模型的信息，但改为“Chinese or mixed-gender samples”，不用于女性专属或平台特异结论。</w:t>
            </w:r>
          </w:p>
        </w:tc>
      </w:tr>
    </w:tbl>
    <w:p>
      <w:pPr>
        <w:pStyle w:val="Heading1"/>
        <w:keepNext/>
      </w:pPr>
      <w:r>
        <w:rPr>
          <w:rFonts w:ascii="SimSun" w:hAnsi="SimSun" w:eastAsia="SimSun"/>
        </w:rPr>
        <w:t>五、逻辑、方法与数据核对</w:t>
      </w:r>
    </w:p>
    <w:p>
      <w:pPr>
        <w:pStyle w:val="ListNumber"/>
        <w:spacing w:after="60"/>
      </w:pPr>
      <w:r>
        <w:rPr>
          <w:rFonts w:ascii="SimSun" w:hAnsi="SimSun" w:eastAsia="SimSun"/>
        </w:rPr>
        <w:t>文献数量、年份范围、期刊数量核算一致：31条；1954–2024；2013年及以后21条；27篇期刊文章加4部专著；涉及16种期刊，其中 Body Image 10篇；涉及中国的材料6篇。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Lang et al. [25] 的888条小红书帖子和“超过40%包含外貌导向信息”的描述，与可获得摘要一致。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方法段应补充检索截止日期、检索来源、追溯方式、语言限制，以及理论专著与实证研究的不同纳入条件。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“五个主题在开始时规定、阅读后又被细化”可以保留，但必须说明它们是分析框架，而不是从资料中完全归纳得到的发现。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建议新增附录证据表：编号、研究类型、样本/地区、女性专属性、媒体/平台、暴露、结局、核心发现、证据限制、是否能支持因果。</w:t>
      </w:r>
    </w:p>
    <w:p>
      <w:pPr>
        <w:pStyle w:val="Heading1"/>
        <w:keepNext/>
      </w:pPr>
      <w:r>
        <w:rPr>
          <w:rFonts w:ascii="SimSun" w:hAnsi="SimSun" w:eastAsia="SimSun"/>
        </w:rPr>
        <w:t>六、文献编号、图表与版式检查</w:t>
      </w:r>
    </w:p>
    <w:p>
      <w:pPr>
        <w:pStyle w:val="ListBullet"/>
        <w:spacing w:after="60"/>
      </w:pPr>
      <w:r>
        <w:rPr>
          <w:rFonts w:ascii="SimSun" w:hAnsi="SimSun" w:eastAsia="SimSun"/>
        </w:rPr>
        <w:t>编号顺序正确：从正文第一处到最后一处，首次出现严格为 [1] 至 [31]；无跳号、倒序或同号对应不同文献。31条参考文献均至少被正文或表格引用一次。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当前编号→正确编号：所有 [1]–[31] 保持不变，无需重排。P50 的 [7][8] 仅需按目标期刊格式统一为 [7, 8] 或 [7–8]。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文档已渲染检查：共9页，未发现图表缺失或明显文字遮挡。建议为表题和图题加上 Table 1 / Figure 1 编号。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双盲投稿风险：PDF元数据含作者姓名，而正文仍为 Anonymous Author；若用于匿名评审，应在投稿前清除 DOCX/PDF 核心属性、修订记录和模板残留。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DOCX 关系中存在与本文无关的模板外链；投稿前建议清理。</w:t>
      </w:r>
    </w:p>
    <w:p>
      <w:pPr>
        <w:pStyle w:val="Heading1"/>
        <w:keepNext/>
      </w:pPr>
      <w:r>
        <w:rPr>
          <w:rFonts w:ascii="SimSun" w:hAnsi="SimSun" w:eastAsia="SimSun"/>
        </w:rPr>
        <w:t>七、建议的最终修订顺序</w:t>
      </w:r>
    </w:p>
    <w:p>
      <w:pPr>
        <w:pStyle w:val="ListNumber"/>
        <w:spacing w:after="60"/>
      </w:pPr>
      <w:r>
        <w:rPr>
          <w:rFonts w:ascii="SimSun" w:hAnsi="SimSun" w:eastAsia="SimSun"/>
        </w:rPr>
        <w:t>先决定论文的真实研究问题：聚焦外貌导向内容/活动，或扩展为反馈机制但补足直接证据；不要在现有证据下同时宣称已完整回答两者。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重做表1和概念图，先标出证据类型、样本边界和未被直接验证的路径。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收窄摘要、讨论和结论，删除“内容比时长更重要”“关联通过内容运行”“刻板印象决定关联方向”等超证据措辞。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将中国部分按传统媒体背景、平台内容和个体心理研究拆开，避免把不同研究对象拼成同一机制。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补充叙事综述透明度说明及31项研究证据表。</w:t>
      </w:r>
    </w:p>
    <w:p>
      <w:pPr>
        <w:pStyle w:val="ListNumber"/>
        <w:spacing w:after="60"/>
      </w:pPr>
      <w:r>
        <w:rPr>
          <w:rFonts w:ascii="SimSun" w:hAnsi="SimSun" w:eastAsia="SimSun"/>
        </w:rPr>
        <w:t>最后统一参考文献、图表编号、匿名信息和文档元数据。</w:t>
      </w:r>
    </w:p>
    <w:p>
      <w:pPr>
        <w:pStyle w:val="Heading1"/>
        <w:keepNext/>
      </w:pPr>
      <w:r>
        <w:rPr>
          <w:rFonts w:ascii="SimSun" w:hAnsi="SimSun" w:eastAsia="SimSun"/>
        </w:rPr>
        <w:t>八、可保留的结论与核验边界</w:t>
      </w:r>
    </w:p>
    <w:p>
      <w:pPr>
        <w:pStyle w:val="ListBullet"/>
        <w:spacing w:after="60"/>
      </w:pPr>
      <w:r>
        <w:rPr>
          <w:rFonts w:ascii="SimSun" w:hAnsi="SimSun" w:eastAsia="SimSun"/>
        </w:rPr>
        <w:t>可以保留：在本文所综述的研究中，外貌导向社交媒体内容或活动与较差身体意象存在关联。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可以保留：部分短期实验显示，特定内容暴露或自拍行为可影响年轻女性的即时情绪、身体意象或自我物化。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可以保留：评论文本、点赞反馈及其饮食结局的直接证据稀缺；BoPo证据存在混合结果；非西方研究提示地方文化差异。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不能按现稿保留：把性别刻板印象当作已验证中介；将无一致的时长结果表述为时长无效；从短期或横断面研究推出长期饮食行为、平台治理或干预有效性。</w:t>
      </w:r>
    </w:p>
    <w:p>
      <w:pPr>
        <w:pStyle w:val="ListBullet"/>
        <w:spacing w:after="60"/>
      </w:pPr>
      <w:r>
        <w:rPr>
          <w:rFonts w:ascii="SimSun" w:hAnsi="SimSun" w:eastAsia="SimSun"/>
        </w:rPr>
        <w:t>核验边界：本清单依据可获取的 DOI 注册记录、Crossref、PubMed 摘要和出版社可访问元数据进行。受限全文未被当作已审阅证据；对无法直接读取全文的细节，不作虚构性判断。</w:t>
      </w:r>
    </w:p>
    <w:p>
      <w:pPr>
        <w:spacing w:before="200"/>
        <w:jc w:val="center"/>
      </w:pPr>
      <w:r>
        <w:rPr>
          <w:rFonts w:ascii="SimSun" w:hAnsi="SimSun" w:eastAsia="SimSun"/>
          <w:b w:val="0"/>
          <w:i/>
          <w:color w:val="666666"/>
          <w:sz w:val="18"/>
        </w:rPr>
        <w:t>本清单是纠错与修订路线图，不替代目标期刊的格式要求或最终语言润色。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color w:val="646464"/>
        <w:sz w:val="16"/>
      </w:rPr>
      <w:t>学术审稿纠错清单  |  2026年9月14日  |  仅供作者修订使用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SimSun" w:hAnsi="SimSu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SimSun" w:hAnsi="SimSun" w:eastAsia="SimSun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