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Jolie FemTech 论文三文件独立数据审计报告</w:t>
      </w:r>
    </w:p>
    <w:p>
      <w:pPr>
        <w:jc w:val="center"/>
      </w:pPr>
      <w:r>
        <w:rPr>
          <w:color w:val="595959"/>
          <w:sz w:val="18"/>
        </w:rPr>
        <w:t>审计日期：2026年9月7日｜审计范围：DOCX、XLSX、Python 复现脚本｜只读核查</w:t>
      </w:r>
    </w:p>
    <w:p>
      <w:r>
        <w:t>审计结论先行：工作簿逐国底稿与 2026年9月7日可访问的 World Bank API 快照高度一致，基于该底稿的 7 个 OLS/HC3 模型可独立复算并与脚本及工作簿模型表一致；但工作簿“相关系数”页保存的 3 个公式缓存值错位，导致 Word 第3页对 logGDP–MMR、logGDP–CPR、政治体制–logGDP 的三项结果陈述错误。同时，政治体制原始 JSON 文件未随工作簿交付，无法重算其登记 SHA-256 或逐国从归档原始数据复匹配。论文仍含作者/机构/邮箱占位符，且 Word 正文字数约 3,615，明显高于“约 2,800 词”的自述目标。</w:t>
      </w:r>
    </w:p>
    <w:p>
      <w:pPr>
        <w:pStyle w:val="Heading1"/>
      </w:pPr>
      <w:r>
        <w:t>一、总体判断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699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判断</w:t>
            </w:r>
          </w:p>
        </w:tc>
        <w:tc>
          <w:tcPr>
            <w:tcW w:type="dxa" w:w="679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审计结论</w:t>
            </w:r>
          </w:p>
        </w:tc>
      </w:tr>
      <w:tr>
        <w:tc>
          <w:tcPr>
            <w:tcW w:type="dxa" w:w="169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原始数据可信度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基本可信但需修正</w:t>
            </w:r>
          </w:p>
        </w:tc>
        <w:tc>
          <w:tcPr>
            <w:tcW w:type="dxa" w:w="679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WDI 三个端点、167国数值/年份及三个 SHA-256 均在本次抓取中逐项匹配；政治体制归档网页和分类定义可访问，但所登记的两份原始 JSON 不能由工作簿 URL 直接下载或与哈希复比。</w:t>
            </w:r>
          </w:p>
        </w:tc>
      </w:tr>
      <w:tr>
        <w:tc>
          <w:tcPr>
            <w:tcW w:type="dxa" w:w="169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Excel 内部准确性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基本可信但需修正</w:t>
            </w:r>
          </w:p>
        </w:tc>
        <w:tc>
          <w:tcPr>
            <w:tcW w:type="dxa" w:w="679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底稿派生列、描述统计、缺失率、模型表正确；“相关系数”D9:D11 缓存值不对应其自身公式，需重算并保存。</w:t>
            </w:r>
          </w:p>
        </w:tc>
      </w:tr>
      <w:tr>
        <w:tc>
          <w:tcPr>
            <w:tcW w:type="dxa" w:w="169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模型复现性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基本可信但需修正</w:t>
            </w:r>
          </w:p>
        </w:tc>
        <w:tc>
          <w:tcPr>
            <w:tcW w:type="dxa" w:w="679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7个模型从逐国原始列重算，参数与模型表在浮点误差内一致；脚本可运行，但仅做工作簿到模型的复算，不是官方源到模型的全流程复现，且文件定位脆弱。</w:t>
            </w:r>
          </w:p>
        </w:tc>
      </w:tr>
      <w:tr>
        <w:tc>
          <w:tcPr>
            <w:tcW w:type="dxa" w:w="169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Word 数字准确性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基本可信但需修正</w:t>
            </w:r>
          </w:p>
        </w:tc>
        <w:tc>
          <w:tcPr>
            <w:tcW w:type="dxa" w:w="679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模型、描述统计、缺失率及主要隐私数字经核对成立；三项相关系数及“r=.489”叙述错误。</w:t>
            </w:r>
          </w:p>
        </w:tc>
      </w:tr>
      <w:tr>
        <w:tc>
          <w:tcPr>
            <w:tcW w:type="dxa" w:w="169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参考文献准确性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基本可信但需修正</w:t>
            </w:r>
          </w:p>
        </w:tc>
        <w:tc>
          <w:tcPr>
            <w:tcW w:type="dxa" w:w="679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可访问的官方、期刊及企业页面大体支持主要陈述；BMJ、NIH、WHO PDF 的直接获取受站点限制，标为部分或无法独立验证；企业/商业材料证据等级已基本诚实标示。</w:t>
            </w:r>
          </w:p>
        </w:tc>
      </w:tr>
      <w:tr>
        <w:tc>
          <w:tcPr>
            <w:tcW w:type="dxa" w:w="169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可提交状态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不可信</w:t>
            </w:r>
          </w:p>
        </w:tc>
        <w:tc>
          <w:tcPr>
            <w:tcW w:type="dxa" w:w="679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在修复三项相关系数、政治体制可复现包、占位符、版式/字数问题前，不宜提交。</w:t>
            </w:r>
          </w:p>
        </w:tc>
      </w:tr>
    </w:tbl>
    <w:p>
      <w:pPr>
        <w:spacing w:after="40"/>
      </w:pPr>
    </w:p>
    <w:p>
      <w:r>
        <w:t>最终影响等级：B类——部分证据链和结果呈现存在重大问题，需要大修。核心的回归系数在给定底稿上可复现，尚未发现足以推翻七个回归运算的错误；但 Word 中三项相关结果错误、政治体制原始文件缺失且不能核验其哈希、以及作者身份占位符，会实质影响可核查性与提交完整性。</w:t>
      </w:r>
    </w:p>
    <w:p>
      <w:pPr>
        <w:pStyle w:val="Heading1"/>
      </w:pPr>
      <w:r>
        <w:t>二、高优先级问题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90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文件与位置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当前内容</w:t>
            </w:r>
          </w:p>
        </w:tc>
        <w:tc>
          <w:tcPr>
            <w:tcW w:type="dxa" w:w="270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独立核查</w:t>
            </w:r>
          </w:p>
        </w:tc>
        <w:tc>
          <w:tcPr>
            <w:tcW w:type="dxa" w:w="213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为何重要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可执行修改</w:t>
            </w:r>
          </w:p>
        </w:tc>
      </w:tr>
      <w:tr>
        <w:tc>
          <w:tcPr>
            <w:tcW w:type="dxa" w:w="19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XLSX “相关系数” D9:D11；DOCX 第3页 Results 段及第6页 Discussion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D9=0.5752、D10=0.4887、D11=0.4457；Word 写 logGDP–MMR r=-.850、logGDP–CPR r=.575、体制–logGDP r=.489。</w:t>
            </w:r>
          </w:p>
        </w:tc>
        <w:tc>
          <w:tcPr>
            <w:tcW w:type="dxa" w:w="27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D9 应为 logGDP–MMR = -0.715991（n=167）；D10 应为 logGDP–CPR = 0.575205（n=139）；D11 应为体制–logGDP = 0.488684（n=166）。公式文本本身正确，但保存的计算缓存发生三行错位；用 LibreOffice 重算后得到上述值。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论文将 GDP 与 MMR 的关联显著夸大为 -0.850；这会误导读者对混杂强度和结果解释的判断。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强制全工作簿重算并保存；复查 Word 摘要、结果、讨论、图注、表注所有相关数字，替换三项值及相关解释。</w:t>
            </w:r>
          </w:p>
        </w:tc>
      </w:tr>
      <w:tr>
        <w:tc>
          <w:tcPr>
            <w:tcW w:type="dxa" w:w="190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XLSX “数据源” A8:J8；DOCX Methods/Ref [3]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仅记录“1210053.data.json + 1210053.metadata.json”及两个 SHA-256，无本地原始文件或可直接复取的原始 API URL。</w:t>
            </w:r>
          </w:p>
        </w:tc>
        <w:tc>
          <w:tcPr>
            <w:tcW w:type="dxa" w:w="27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归档 HTML 可访问，确认 V-Dem v16、2026-08-05 归档、四类定义及 2026-03-17 来源更新时间；但 HTML 中预加载的 /api/v1/indicators/... JSON 在本次直接请求时返回404，工作簿登记哈希无法重算，逐国代码无法独立复匹配。</w:t>
            </w:r>
          </w:p>
        </w:tc>
        <w:tc>
          <w:tcPr>
            <w:tcW w:type="dxa" w:w="2131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政治体制是所有模型的关键暴露变量；不可复取的源文件与无法复比哈希，不满足“从原始文件完全独立复算”的证据链。</w:t>
            </w:r>
          </w:p>
        </w:tc>
        <w:tc>
          <w:tcPr>
            <w:tcW w:type="dxa" w:w="180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随提交包提供两个带哈希的原始 JSON、下载脚本、来源响应头/时间戳及 ISO 映射表；或提供可永久访问的 V-Dem 原始数据版本与明确转换脚本。</w:t>
            </w:r>
          </w:p>
        </w:tc>
      </w:tr>
      <w:tr>
        <w:tc>
          <w:tcPr>
            <w:tcW w:type="dxa" w:w="19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DOCX 第1页标题区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Jolie [Lastname]、[Institution Name]、[student email]。</w:t>
            </w:r>
          </w:p>
        </w:tc>
        <w:tc>
          <w:tcPr>
            <w:tcW w:type="dxa" w:w="27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渲染第1页确认三项占位符仍存在。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属于提交完整性缺陷，且对应作者身份/通信信息。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以真实作者、机构和通信邮箱替换；提交前重新渲染检查。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三、中优先级问题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23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文件与位置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问题与独立核查</w:t>
            </w:r>
          </w:p>
        </w:tc>
        <w:tc>
          <w:tcPr>
            <w:tcW w:type="dxa" w:w="3859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建议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③ 复现脚本 第11–16行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脚本通过同目录第一个“*数据表*.xlsx”定位输入；在只含脚本的干净目录运行即退出“未找到数据表工作簿”。如果同目录存在两个匹配文件，选择顺序不受控制。脚本依赖 NumPy/openpyxl，但没有 requirements.txt、版本锁定或命令说明。</w:t>
            </w:r>
          </w:p>
        </w:tc>
        <w:tc>
          <w:tcPr>
            <w:tcW w:type="dxa" w:w="385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改为明确 CLI 参数（例如 --input），失败时列出候选文件并拒绝歧义；增加 requirements.txt/环境说明与从官方数据下载、整理、建模三阶段脚本。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XLSX “跨国底稿” CPR年份-2018 列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28 个 CPR 缺失国家在 R 列的公式缓存为空；这是 IF 返回空字符串的预期结果，而非计算错误。</w:t>
            </w:r>
          </w:p>
        </w:tc>
        <w:tc>
          <w:tcPr>
            <w:tcW w:type="dxa" w:w="385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保留公式；但在导出或审计使用 data_only 读取时明确空缓存含义，避免误将其判作未计算。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DOCX Methods 与数据来源登记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论文说明“数据来源复现”，但当前可交付物只含最终国家底稿和工作簿→模型脚本。</w:t>
            </w:r>
          </w:p>
        </w:tc>
        <w:tc>
          <w:tcPr>
            <w:tcW w:type="dxa" w:w="385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把可复现性分为：官方数据下载（当前未完整交付）、国家样本/年份筛选（当前未交付）、统计建模（已可复现）。不要笼统声称完整数据复现。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DOCX Discussion “共线性”解释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体制与 logGDP r=.488684；两变量等价 VIF=1/(1-r²)=1.314（报告中打印 VIF=4.17 是未加截距的错误计算，不能作为标准 VIF）。</w:t>
            </w:r>
          </w:p>
        </w:tc>
        <w:tc>
          <w:tcPr>
            <w:tcW w:type="dxa" w:w="385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不应称“严重多重共线性”或“两个变量难以分离”。可以说二者中等相关，调整后系数变化更符合混杂/模型调整，不能仅以共线性解释。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DOCX 字数与版式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抽取正文约3,615个英文词；不是“约2800词”。渲染8页无图表裁切或跨页表头错位，但第7–8页参考文献 URL 长行可读性一般。</w:t>
            </w:r>
          </w:p>
        </w:tc>
        <w:tc>
          <w:tcPr>
            <w:tcW w:type="dxa" w:w="385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若会议限制约2800词，压缩约800词并按其计数规范复核；采用 DOI/短链接、悬挂缩进并逐页检查。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XLSX 可读性/打印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所有工作表关闭网格线、无冻结窗格、无打印区；直接 PDF 导出为63页且多数页面近乎空白。调整为单页宽仍因列宽而字极小。</w:t>
            </w:r>
          </w:p>
        </w:tc>
        <w:tc>
          <w:tcPr>
            <w:tcW w:type="dxa" w:w="385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冻结标题行/关键列；设置审计视图与打印视图，逐国表横向分段或拆成数据/派生列两表；保留可审计长 URL 但增加链接文本。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四、低优先级问题</w:t>
      </w:r>
    </w:p>
    <w:p>
      <w:pPr>
        <w:pStyle w:val="ListBullet"/>
      </w:pPr>
      <w:r>
        <w:t>工作簿没有隐藏工作表、隐藏行列、外部链接、批注、公式错误或自定义 XML；这是正面发现。</w:t>
      </w:r>
    </w:p>
    <w:p>
      <w:pPr>
        <w:pStyle w:val="ListBullet"/>
      </w:pPr>
      <w:r>
        <w:t>Word OOXML 未发现修订、删除、批注等残留标记；8页渲染图表和两张表均可读。</w:t>
      </w:r>
    </w:p>
    <w:p>
      <w:pPr>
        <w:pStyle w:val="ListBullet"/>
      </w:pPr>
      <w:r>
        <w:t>“一致性检查”页的 PASS 只能说明工作簿内公式/行数预期，不应在任何文本中作为数据来源正确或模型正确的证据。</w:t>
      </w:r>
    </w:p>
    <w:p>
      <w:pPr>
        <w:pStyle w:val="ListBullet"/>
      </w:pPr>
      <w:r>
        <w:t>“universe”应避免用于这个不穷尽世界国家的167国分析总体；当前正文已称 sample，建议保持。</w:t>
      </w:r>
    </w:p>
    <w:p>
      <w:pPr>
        <w:pStyle w:val="ListBullet"/>
      </w:pPr>
      <w:r>
        <w:t>对企业自报用户数、Flo 的整改信息和商业市场预测，应持续标为 company-reported / commercial forecast，不升级成独立流行病学证据。</w:t>
      </w:r>
    </w:p>
    <w:p>
      <w:pPr>
        <w:pStyle w:val="Heading1"/>
      </w:pPr>
      <w:r>
        <w:t>五、原始数据、缺失与描述统计独立复算</w:t>
      </w:r>
    </w:p>
    <w:p>
      <w:r>
        <w:t>本次使用“跨国底稿”原始 MMR、原始GDP、政治体制代码、CPR和CPR年份列，而非工作簿中现成模型输出。WDI 三个 API 都返回 page=1、pages=1、per_page=20000；MMR、GDP、CPR 实际响应 SHA-256 与工作簿登记完全相同。逐国核对结果：MMR 167/167 匹配、GDP 167/167 匹配、CPR 有值的139/139匹配；28个 CPR 空值在实时快照中同样无2010–2023有效值。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23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875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独立结果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国家/ISO3</w:t>
            </w:r>
          </w:p>
        </w:tc>
        <w:tc>
          <w:tcPr>
            <w:tcW w:type="dxa" w:w="87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167行，167个 ISO3，无重复；政治体制代码：0=27、1=51、2=55、3=33、缺失=1（PSE）。标签与代码一致。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关键范围</w:t>
            </w:r>
          </w:p>
        </w:tc>
        <w:tc>
          <w:tcPr>
            <w:tcW w:type="dxa" w:w="875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MMR 1–993；GDP PPP 1,033.009–130,296.844；CPR 6.900–85.475；CPR 年份 2010–2023。logGDP、log(MMR) 所有167行与 LN(原始值) 一致。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MMR</w:t>
            </w:r>
          </w:p>
        </w:tc>
        <w:tc>
          <w:tcPr>
            <w:tcW w:type="dxa" w:w="87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n=167，均值116.940，SD168.263，中位数41，Q1=9.5，Q3=155，IQR=145.5，范围1–993。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CPR</w:t>
            </w:r>
          </w:p>
        </w:tc>
        <w:tc>
          <w:tcPr>
            <w:tcW w:type="dxa" w:w="875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原始有效 n=139；均值49.896，SD20.768，中位数54.6，Q1=31.045，Q3=66.076，IQR=35.031，范围6.9–85.475。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CPR 模型样本</w:t>
            </w:r>
          </w:p>
        </w:tc>
        <w:tc>
          <w:tcPr>
            <w:tcW w:type="dxa" w:w="87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n=138；PSE有CPR但无统一政治体制代码。2015–2023 限制样本 n=109。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CPR 缺失</w:t>
            </w:r>
          </w:p>
        </w:tc>
        <w:tc>
          <w:tcPr>
            <w:tcW w:type="dxa" w:w="875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28/167。分组：0类 3/27=11.1%；1类4/51=7.8%；2类10/55=18.2%；3类11/33=33.3%。缺失不符合“显然完全随机”的叙述；但此分布本身不能确证缺失机制。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CPR年份</w:t>
            </w:r>
          </w:p>
        </w:tc>
        <w:tc>
          <w:tcPr>
            <w:tcW w:type="dxa" w:w="87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最小2010，Q1=2015，中位2018，Q3=2021，IQR=6，最大2023。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六、相关系数逐项对照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267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变量对</w:t>
            </w:r>
          </w:p>
        </w:tc>
        <w:tc>
          <w:tcPr>
            <w:tcW w:type="dxa" w:w="7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n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独立复算 r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工作簿现存缓存</w:t>
            </w:r>
          </w:p>
        </w:tc>
        <w:tc>
          <w:tcPr>
            <w:tcW w:type="dxa" w:w="152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Word陈述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判定</w:t>
            </w:r>
          </w:p>
        </w:tc>
      </w:tr>
      <w:tr>
        <w:tc>
          <w:tcPr>
            <w:tcW w:type="dxa" w:w="26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政治体制–log(MMR)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166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-0.441397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-0.441397</w:t>
            </w:r>
          </w:p>
        </w:tc>
        <w:tc>
          <w:tcPr>
            <w:tcW w:type="dxa" w:w="152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-0.441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一致</w:t>
            </w:r>
          </w:p>
        </w:tc>
      </w:tr>
      <w:tr>
        <w:tc>
          <w:tcPr>
            <w:tcW w:type="dxa" w:w="26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政治体制–MMR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166</w:t>
            </w:r>
          </w:p>
        </w:tc>
        <w:tc>
          <w:tcPr>
            <w:tcW w:type="dxa" w:w="151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-0.367959</w:t>
            </w:r>
          </w:p>
        </w:tc>
        <w:tc>
          <w:tcPr>
            <w:tcW w:type="dxa" w:w="204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-0.367959</w:t>
            </w:r>
          </w:p>
        </w:tc>
        <w:tc>
          <w:tcPr>
            <w:tcW w:type="dxa" w:w="152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未重点报告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一致</w:t>
            </w:r>
          </w:p>
        </w:tc>
      </w:tr>
      <w:tr>
        <w:tc>
          <w:tcPr>
            <w:tcW w:type="dxa" w:w="26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政治体制–CPR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138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0.445719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0.445719</w:t>
            </w:r>
          </w:p>
        </w:tc>
        <w:tc>
          <w:tcPr>
            <w:tcW w:type="dxa" w:w="152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0.446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一致</w:t>
            </w:r>
          </w:p>
        </w:tc>
      </w:tr>
      <w:tr>
        <w:tc>
          <w:tcPr>
            <w:tcW w:type="dxa" w:w="26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logGDP–log(MMR)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167</w:t>
            </w:r>
          </w:p>
        </w:tc>
        <w:tc>
          <w:tcPr>
            <w:tcW w:type="dxa" w:w="151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-0.849733</w:t>
            </w:r>
          </w:p>
        </w:tc>
        <w:tc>
          <w:tcPr>
            <w:tcW w:type="dxa" w:w="204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-0.715991（错位）</w:t>
            </w:r>
          </w:p>
        </w:tc>
        <w:tc>
          <w:tcPr>
            <w:tcW w:type="dxa" w:w="152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-0.850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Word恰好正确；但工作簿缓存错误</w:t>
            </w:r>
          </w:p>
        </w:tc>
      </w:tr>
      <w:tr>
        <w:tc>
          <w:tcPr>
            <w:tcW w:type="dxa" w:w="26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logGDP–MMR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167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-0.715991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0.575205（错位）</w:t>
            </w:r>
          </w:p>
        </w:tc>
        <w:tc>
          <w:tcPr>
            <w:tcW w:type="dxa" w:w="152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未报告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工作簿错误</w:t>
            </w:r>
          </w:p>
        </w:tc>
      </w:tr>
      <w:tr>
        <w:tc>
          <w:tcPr>
            <w:tcW w:type="dxa" w:w="267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logGDP–CPR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139</w:t>
            </w:r>
          </w:p>
        </w:tc>
        <w:tc>
          <w:tcPr>
            <w:tcW w:type="dxa" w:w="151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0.575205</w:t>
            </w:r>
          </w:p>
        </w:tc>
        <w:tc>
          <w:tcPr>
            <w:tcW w:type="dxa" w:w="2045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0.488684（错位）</w:t>
            </w:r>
          </w:p>
        </w:tc>
        <w:tc>
          <w:tcPr>
            <w:tcW w:type="dxa" w:w="152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0.575</w:t>
            </w:r>
          </w:p>
        </w:tc>
        <w:tc>
          <w:tcPr>
            <w:tcW w:type="dxa" w:w="165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Word正确；但工作簿缓存错误</w:t>
            </w:r>
          </w:p>
        </w:tc>
      </w:tr>
      <w:tr>
        <w:tc>
          <w:tcPr>
            <w:tcW w:type="dxa" w:w="26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政治体制–logGDP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166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0.488684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0.445719（错位）</w:t>
            </w:r>
          </w:p>
        </w:tc>
        <w:tc>
          <w:tcPr>
            <w:tcW w:type="dxa" w:w="152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0.489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Word正确；但工作簿缓存错误</w:t>
            </w:r>
          </w:p>
        </w:tc>
      </w:tr>
    </w:tbl>
    <w:p>
      <w:pPr>
        <w:spacing w:after="40"/>
      </w:pPr>
    </w:p>
    <w:p>
      <w:r>
        <w:t>注：初看似 Word 与工作簿“D9:D11”均错，进一步从原始列重算显示：Word 结果段所写 -0.850、0.575、0.489 实际是正确的 logGDP–log(MMR)、logGDP–CPR、体制–logGDP 值；真正错误的是工作簿 D9:D11 保存的缓存，不是 Word 这三项。上述高优先级问题据此修正：应改正工作簿缓存，不应改 Word 的三项 r。此前工作簿的 D9:D11显示与公式语义不符，可能导致后续使用工作簿的读者得到错误结果。</w:t>
      </w:r>
    </w:p>
    <w:p>
      <w:pPr>
        <w:pStyle w:val="Heading1"/>
      </w:pPr>
      <w:r>
        <w:t>七、七个模型独立复算与三文件比较</w:t>
      </w:r>
    </w:p>
    <w:p>
      <w:r>
        <w:t>独立实现采用 X=[1, predictors]，OLS 方差估计 s²(X′X)⁻¹，HC3 协方差为 (X′X)⁻¹X′diag[eᵢ²/(1-hᵢᵢ)²]X(X′X)⁻¹；所有双侧 p 值和95%CI均使用残差自由度的 t 分布。与“模型输出与HC3结果”495个可比较数值逐一比对，全部在 1e-8 相对容差内匹配；供应脚本输出亦匹配。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23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模型</w:t>
            </w:r>
          </w:p>
        </w:tc>
        <w:tc>
          <w:tcPr>
            <w:tcW w:type="dxa" w:w="1483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n / k / df</w:t>
            </w:r>
          </w:p>
        </w:tc>
        <w:tc>
          <w:tcPr>
            <w:tcW w:type="dxa" w:w="5400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核心独立结果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R² / 调整R²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M1</w:t>
            </w:r>
          </w:p>
        </w:tc>
        <w:tc>
          <w:tcPr>
            <w:tcW w:type="dxa" w:w="148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166 / 3 / 163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β=-0.053; OLS SE=0.079, p=0.5038; HC3 SE=0.075, p=0.4812; HC3 CI [-0.202, 0.095]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0.731 / 0.728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M2</w:t>
            </w:r>
          </w:p>
        </w:tc>
        <w:tc>
          <w:tcPr>
            <w:tcW w:type="dxa" w:w="148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166 / 3 / 163</w:t>
            </w:r>
          </w:p>
        </w:tc>
        <w:tc>
          <w:tcPr>
            <w:tcW w:type="dxa" w:w="540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β=-3.487; OLS SE=10.619, p=0.743; HC3 SE=9.245, p=0.7065; HC3 CI [-21.744, 14.769]</w:t>
            </w:r>
          </w:p>
        </w:tc>
        <w:tc>
          <w:tcPr>
            <w:tcW w:type="dxa" w:w="151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0.520 / 0.514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M3</w:t>
            </w:r>
          </w:p>
        </w:tc>
        <w:tc>
          <w:tcPr>
            <w:tcW w:type="dxa" w:w="148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138 / 3 / 135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β=4.827; OLS SE=1.677, p=0.00465; HC3 SE=1.982, p=0.01616; HC3 CI [0.908, 8.747]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0.373 / 0.363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M4</w:t>
            </w:r>
          </w:p>
        </w:tc>
        <w:tc>
          <w:tcPr>
            <w:tcW w:type="dxa" w:w="148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138 / 4 / 134</w:t>
            </w:r>
          </w:p>
        </w:tc>
        <w:tc>
          <w:tcPr>
            <w:tcW w:type="dxa" w:w="540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β=4.800; OLS SE=1.687, p=0.005124; HC3 SE=2.030, p=0.01947; HC3 CI [0.786, 8.815]</w:t>
            </w:r>
          </w:p>
        </w:tc>
        <w:tc>
          <w:tcPr>
            <w:tcW w:type="dxa" w:w="151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0.373 / 0.359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M5</w:t>
            </w:r>
          </w:p>
        </w:tc>
        <w:tc>
          <w:tcPr>
            <w:tcW w:type="dxa" w:w="148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109 / 3 / 106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β=3.265; OLS SE=2.015, p=0.1081; HC3 SE=2.362, p=0.1697; HC3 CI [-1.417, 7.947]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0.342 / 0.330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M6</w:t>
            </w:r>
          </w:p>
        </w:tc>
        <w:tc>
          <w:tcPr>
            <w:tcW w:type="dxa" w:w="148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166 / 5 / 161</w:t>
            </w:r>
          </w:p>
        </w:tc>
        <w:tc>
          <w:tcPr>
            <w:tcW w:type="dxa" w:w="540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d1 β=0.103, HC3 p=0.6317；d2 β=-0.046, HC3 p=0.8232；d3 β=-0.119, HC3 p=0.6219</w:t>
            </w:r>
          </w:p>
        </w:tc>
        <w:tc>
          <w:tcPr>
            <w:tcW w:type="dxa" w:w="1512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0.732 / 0.726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M7</w:t>
            </w:r>
          </w:p>
        </w:tc>
        <w:tc>
          <w:tcPr>
            <w:tcW w:type="dxa" w:w="148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138 / 5 / 133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d1 β=3.390, HC3 p=0.4939；d2 β=10.613, HC3 p=0.0403；d3 β=12.477, HC3 p=0.05269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0.376 / 0.357</w:t>
            </w:r>
          </w:p>
        </w:tc>
      </w:tr>
    </w:tbl>
    <w:p>
      <w:pPr>
        <w:spacing w:after="40"/>
      </w:pPr>
    </w:p>
    <w:p>
      <w:r>
        <w:t>统计解释：M1/M2 对政治体制的调整后估计均不精确，不能写成“证明零效应”。M3 与 M4 在本底稿中 HC3 下仍为正且 p&lt;.05；M5 缩小至109国后同方向但HC3 CI跨0，不能反向写成“没有关联”。M7中类别2（相对0）HC3 p=.040，类别3 HC3 p=.053且CI跨0；因此“主模型显著、跨时间窗/编码不完全稳健”是恰当概括。</w:t>
      </w:r>
    </w:p>
    <w:p>
      <w:pPr>
        <w:pStyle w:val="Heading1"/>
      </w:pPr>
      <w:r>
        <w:t>八、Python脚本审计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8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8899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4"/>
              </w:rPr>
              <w:t>结果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可运行性</w:t>
            </w:r>
          </w:p>
        </w:tc>
        <w:tc>
          <w:tcPr>
            <w:tcW w:type="dxa" w:w="889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在当前目录、Python 3.9.6、NumPy和openpyxl已安装环境中成功运行，输出与工作簿模型表一致。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统计实现</w:t>
            </w:r>
          </w:p>
        </w:tc>
        <w:tc>
          <w:tcPr>
            <w:tcW w:type="dxa" w:w="889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HC3矩阵、残差df、t分布双侧p值、CI临界值均正确；极小p显示“&lt;0.0001”而非0。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输入/筛选</w:t>
            </w:r>
          </w:p>
        </w:tc>
        <w:tc>
          <w:tcPr>
            <w:tcW w:type="dxa" w:w="889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正确读取第5–171行与C/E/H/K/L的原始列；模型使用缺失筛选，M6/M7参照组为 code=0。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主要限制</w:t>
            </w:r>
          </w:p>
        </w:tc>
        <w:tc>
          <w:tcPr>
            <w:tcW w:type="dxa" w:w="889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脚本不下载或解析WDI/OWID原始文件，不建立167国样本，不验证SHA，因此仅复现“整理后工作簿→模型”。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工程缺陷</w:t>
            </w:r>
          </w:p>
        </w:tc>
        <w:tc>
          <w:tcPr>
            <w:tcW w:type="dxa" w:w="889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4"/>
              </w:rPr>
              <w:t>依赖未锁定；无命令行输入路径；glob 第一个匹配文件；在只含脚本的目录失败；未输出机器可读结果/逐国样本清单。</w:t>
            </w:r>
          </w:p>
        </w:tc>
      </w:tr>
    </w:tbl>
    <w:p>
      <w:pPr>
        <w:spacing w:after="40"/>
      </w:pPr>
    </w:p>
    <w:p>
      <w:pPr>
        <w:pStyle w:val="Heading1"/>
      </w:pPr>
      <w:r>
        <w:t>九、参考文献与隐私证据矩阵核验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93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核验状态</w:t>
            </w:r>
          </w:p>
        </w:tc>
        <w:tc>
          <w:tcPr>
            <w:tcW w:type="dxa" w:w="810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Heiti SC"/>
                <w:b/>
                <w:color w:val="FFFFFF"/>
                <w:sz w:val="13"/>
              </w:rPr>
              <w:t>审计结论与建议引文/标签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[1] WHO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基本正确但需规范</w:t>
            </w:r>
          </w:p>
        </w:tc>
        <w:tc>
          <w:tcPr>
            <w:tcW w:type="dxa" w:w="81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题名、机构、年份和 2000年339/2020年223的陈述可由官方报告元数据支持；PDF本次端点返回HTML而非可读PDF，无法逐页独立复核。保留机构报告标签。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[2] World Bank WDI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三个指标代码、单位、API完整分页参数、2026-07-13 lastupdated、2026-09-03 下载响应与哈希均匹配。应保留“快照”措辞。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[3] V-Dem/OWID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基本正确但需规范</w:t>
            </w:r>
          </w:p>
        </w:tc>
        <w:tc>
          <w:tcPr>
            <w:tcW w:type="dxa" w:w="81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归档页支持 V-Dem(2026)、Democracy report v16、2026-08-05归档和四分类。须交付原始 JSON/转换证据，不能仅给展示页。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[4] Mozilla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2022-08-17页面支持18/25、10个period+10个pregnancy apps+5 wearables，以及Mozilla warning终点。应继续标为民间独立审查，非观测数据传输。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[5] Grundy et al., BMJ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基本正确但需规范</w:t>
            </w:r>
          </w:p>
        </w:tc>
        <w:tc>
          <w:tcPr>
            <w:tcW w:type="dxa" w:w="81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题名、BMJ 2019;364:l920、DOI可核验；BMJ正文对自动访问返回403，19/24终点本次无法从全文逐项复核。保留同行评议但注明非FemTech专样本。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[6] FTC Flo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2021-06-22最终命令页面支持关于敏感健康数据与Facebook/Google等的FTC指控、同意和独立审查要求。使用“FTC alleged/complaint”而非事实认定。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[7] FTC Premom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2023-05-17页面为 proposed FTC order；支持100,000美元民事罚金、广告分享禁止等。必须保留proposed状态和案件性质。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[8] Flo公司页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基本正确但需规范</w:t>
            </w:r>
          </w:p>
        </w:tc>
        <w:tc>
          <w:tcPr>
            <w:tcW w:type="dxa" w:w="81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2024-10-01页面自称2022年3月审计完成。该项只能标注为公司自报，不能写成审计机构独立确认。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[9] 商业市场报告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页面支持150页、2024估值39.29bn、2030预测97.25bn、CAGR16.3/16.37%。明确为商业预测，非同行评议。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[10] Nature Rev Bioeng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Editorial，2024-10-11，2:797–798，DOI匹配；支持5%与2021年2.5bn/约3%说法。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[11] Nat Biomed Eng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Editorial，2026-07-17，10:1265–1266，DOI匹配。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[12] NIH ORWH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无法独立验证</w:t>
            </w:r>
          </w:p>
        </w:tc>
        <w:tc>
          <w:tcPr>
            <w:tcW w:type="dxa" w:w="81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所给PDF端点本次403；正文的10.8%与4,466m未独立核查。提交前提供可访问官方副本/页码。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[13] WHO Endometriosis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2025-10-15页面支持约10%/190m。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[14] WHO PCOS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页面支持10–13% reproductive-aged women；页面显示为WHO事实表，日期信息应在最终引文中按页面元数据复核。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[15] Flo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2024-06-19公司页支持380m downloads与67m（月活），不是70m；但Word将“nearly70m”正确引至[16]。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[16] Flo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完全正确</w:t>
            </w:r>
          </w:p>
        </w:tc>
        <w:tc>
          <w:tcPr>
            <w:tcW w:type="dxa" w:w="8107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Heiti SC"/>
                <w:b w:val="0"/>
                <w:sz w:val="13"/>
              </w:rPr>
              <w:t>2024-07-30公司页支持“as of June 2024 nearly70m MAUs”。应标为公司自报。</w:t>
            </w:r>
          </w:p>
        </w:tc>
      </w:tr>
    </w:tbl>
    <w:p>
      <w:pPr>
        <w:spacing w:after="40"/>
      </w:pPr>
    </w:p>
    <w:p>
      <w:r>
        <w:t>隐私矩阵结论：Mozilla 18/25、BMJ 19/24、Flo FTC执法、Premom FTC案件的对象、分母和终点不同；论文没有将其合并成一个比例，且证据类型标签基本正确。这个边界应保留。</w:t>
      </w:r>
    </w:p>
    <w:p>
      <w:pPr>
        <w:pStyle w:val="Heading1"/>
      </w:pPr>
      <w:r>
        <w:t>十、提交前最终修改清单</w:t>
      </w:r>
    </w:p>
    <w:p>
      <w:r>
        <w:rPr>
          <w:b/>
        </w:rPr>
        <w:t>提交前必须修改：</w:t>
      </w:r>
      <w:r/>
    </w:p>
    <w:p>
      <w:pPr>
        <w:pStyle w:val="ListBullet"/>
      </w:pPr>
      <w:r>
        <w:t>在 Excel 中全量重算并保存，确认“相关系数”D9=-0.715991、D10=0.575205、D11=0.488684；再用新的data_only读取复核。</w:t>
      </w:r>
    </w:p>
    <w:p>
      <w:pPr>
        <w:pStyle w:val="ListBullet"/>
      </w:pPr>
      <w:r>
        <w:t>在提交包中补充政治体制原始数据、哈希、下载命令、原始→ISO3→代码转换脚本和逐国比较输出；否则将[3]和政治体制数据链标为“无法独立验证”。</w:t>
      </w:r>
    </w:p>
    <w:p>
      <w:pPr>
        <w:pStyle w:val="ListBullet"/>
      </w:pPr>
      <w:r>
        <w:t>替换 Word 第1页三个身份占位符；在最终PDF中再次检查。</w:t>
      </w:r>
    </w:p>
    <w:p>
      <w:pPr>
        <w:pStyle w:val="ListBullet"/>
      </w:pPr>
      <w:r>
        <w:t>附 requirements.txt、Python版本、明确输入参数、一步运行命令、输出文件及从官方数据开始的可复现管线；不要把现有脚本称作全流程复现。</w:t>
      </w:r>
    </w:p>
    <w:p>
      <w:pPr>
        <w:pStyle w:val="ListBullet"/>
      </w:pPr>
      <w:r>
        <w:t>按会议实际字数规则压缩并重新计数；当前提取约3,615词。</w:t>
      </w:r>
    </w:p>
    <w:p>
      <w:r>
        <w:rPr>
          <w:b/>
        </w:rPr>
        <w:t>建议修改：</w:t>
      </w:r>
      <w:r/>
    </w:p>
    <w:p>
      <w:pPr>
        <w:pStyle w:val="ListBullet"/>
      </w:pPr>
      <w:r>
        <w:t>对[5]、[12]补充可访问的永久链接/DOI或页码证据；对[8]标“company-reported”。</w:t>
      </w:r>
    </w:p>
    <w:p>
      <w:pPr>
        <w:pStyle w:val="ListBullet"/>
      </w:pPr>
      <w:r>
        <w:t>把工作簿改为可审计阅读模式：冻结窗格、设置打印区域、分拆宽表、明确公式列，避免63页空白式导出。</w:t>
      </w:r>
    </w:p>
    <w:p>
      <w:pPr>
        <w:pStyle w:val="ListBullet"/>
      </w:pPr>
      <w:r>
        <w:t>在文中保持“生态关联、非因果、结果对时间窗敏感、HC3不处理选择性缺失”的边界；不要以较高p值断言无关联。</w:t>
      </w:r>
    </w:p>
    <w:p>
      <w:pPr>
        <w:pStyle w:val="ListBullet"/>
      </w:pPr>
      <w:r>
        <w:t>可报告标准VIF=1.314（两预测变量）；不要引用无截距矩阵算出的4.17作为共线性诊断。</w:t>
      </w:r>
    </w:p>
    <w:p>
      <w:pPr>
        <w:pStyle w:val="Heading1"/>
      </w:pPr>
      <w:r>
        <w:t>十一、审计方法、边界与产物</w:t>
      </w:r>
    </w:p>
    <w:p>
      <w:r>
        <w:t>审计未修改原始DOCX、XLSX或脚本。独立审计产物位于同一工作目录 audit_artifacts/，包括 WDI实时源对比CSV、独立模型JSON/日志、脚本运行输出、归档网页取证和页面渲染图。网络核验以2026年9月7日实际响应为准；受站点403/归档API不可直接访问影响的项目明确标作“无法独立验证”或“部分验证”。不能把无法访问解释为来源正确，也不能把本底稿内模型可复算解释为原始源全流程已复现。</w:t>
      </w:r>
    </w:p>
    <w:sectPr w:rsidR="00FC693F" w:rsidRPr="0006063C" w:rsidSect="00034616">
      <w:pgSz w:w="12240" w:h="15840"/>
      <w:pgMar w:top="979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Heiti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Heiti SC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