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企业转型规划编制大纲及资料清单（民生银行内蒙古分行案例适用版）</w:t>
      </w:r>
    </w:p>
    <w:p/>
    <w:p>
      <w:r>
        <w:rPr>
          <w:rFonts w:ascii="宋体" w:hAnsi="宋体" w:eastAsia="宋体"/>
          <w:b/>
          <w:sz w:val="28"/>
        </w:rPr>
        <w:t>一、编制说明</w:t>
      </w:r>
    </w:p>
    <w:p>
      <w:pPr>
        <w:spacing w:line="360" w:lineRule="auto"/>
        <w:ind w:firstLine="420"/>
      </w:pPr>
      <w:r>
        <w:rPr>
          <w:rFonts w:ascii="宋体" w:hAnsi="宋体" w:eastAsia="宋体"/>
          <w:b w:val="0"/>
          <w:sz w:val="24"/>
        </w:rPr>
        <w:t>本大纲用于支持民生银行内蒙古分行在转型金融业务中识别目标企业、组织资料收集并编制企业转型规划。大纲参考河北省钢铁企业转型规划框架，并结合内蒙古转型金融标准试用场景进行通用化调整，可适用于煤电、钢铁、建材、化工、有色等具备明确转型路径的重点行业企业。</w:t>
      </w:r>
    </w:p>
    <w:p/>
    <w:p>
      <w:pPr>
        <w:spacing w:line="360" w:lineRule="auto"/>
        <w:ind w:firstLine="420"/>
      </w:pPr>
      <w:r>
        <w:rPr>
          <w:rFonts w:ascii="宋体" w:hAnsi="宋体" w:eastAsia="宋体"/>
          <w:b w:val="0"/>
          <w:sz w:val="24"/>
        </w:rPr>
        <w:t>本大纲的主要用途包括：</w:t>
      </w:r>
    </w:p>
    <w:p>
      <w:pPr>
        <w:pStyle w:val="ListNumber"/>
      </w:pPr>
      <w:r>
        <w:rPr>
          <w:rFonts w:ascii="宋体" w:hAnsi="宋体" w:eastAsia="宋体"/>
          <w:b w:val="0"/>
          <w:sz w:val="24"/>
        </w:rPr>
        <w:t>作为银行与企业开展前期沟通的提纲；</w:t>
      </w:r>
    </w:p>
    <w:p>
      <w:pPr>
        <w:pStyle w:val="ListNumber"/>
      </w:pPr>
      <w:r>
        <w:rPr>
          <w:rFonts w:ascii="宋体" w:hAnsi="宋体" w:eastAsia="宋体"/>
          <w:b w:val="0"/>
          <w:sz w:val="24"/>
        </w:rPr>
        <w:t>作为企业内部组织经营、技术、财务、环保等部门准备材料的依据；</w:t>
      </w:r>
    </w:p>
    <w:p>
      <w:pPr>
        <w:pStyle w:val="ListNumber"/>
      </w:pPr>
      <w:r>
        <w:rPr>
          <w:rFonts w:ascii="宋体" w:hAnsi="宋体" w:eastAsia="宋体"/>
          <w:b w:val="0"/>
          <w:sz w:val="24"/>
        </w:rPr>
        <w:t>作为后续编制企业转型规划正文和设计融资服务方案的基础；</w:t>
      </w:r>
    </w:p>
    <w:p>
      <w:pPr>
        <w:pStyle w:val="ListNumber"/>
      </w:pPr>
      <w:r>
        <w:rPr>
          <w:rFonts w:ascii="宋体" w:hAnsi="宋体" w:eastAsia="宋体"/>
          <w:b w:val="0"/>
          <w:sz w:val="24"/>
        </w:rPr>
        <w:t>作为银行识别企业是否符合转型金融支持条件的重要参考。</w:t>
      </w:r>
    </w:p>
    <w:p/>
    <w:p>
      <w:r>
        <w:rPr>
          <w:rFonts w:ascii="宋体" w:hAnsi="宋体" w:eastAsia="宋体"/>
          <w:b/>
          <w:sz w:val="28"/>
        </w:rPr>
        <w:t>二、企业转型规划建议目录</w:t>
      </w:r>
    </w:p>
    <w:p/>
    <w:p>
      <w:r>
        <w:rPr>
          <w:rFonts w:ascii="宋体" w:hAnsi="宋体" w:eastAsia="宋体"/>
          <w:b/>
          <w:sz w:val="24"/>
        </w:rPr>
        <w:t>1. 企业基本情况</w:t>
      </w:r>
    </w:p>
    <w:p>
      <w:pPr>
        <w:spacing w:line="360" w:lineRule="auto"/>
        <w:ind w:firstLine="420"/>
      </w:pPr>
      <w:r>
        <w:rPr>
          <w:rFonts w:ascii="宋体" w:hAnsi="宋体" w:eastAsia="宋体"/>
          <w:b w:val="0"/>
          <w:sz w:val="24"/>
        </w:rPr>
        <w:t>1.1 企业概况</w:t>
      </w:r>
    </w:p>
    <w:p>
      <w:pPr>
        <w:pStyle w:val="ListBullet"/>
      </w:pPr>
      <w:r>
        <w:rPr>
          <w:rFonts w:ascii="宋体" w:hAnsi="宋体" w:eastAsia="宋体"/>
          <w:b w:val="0"/>
          <w:sz w:val="24"/>
        </w:rPr>
        <w:t>企业名称、统一社会信用代码、注册地址、生产经营地址</w:t>
      </w:r>
    </w:p>
    <w:p>
      <w:pPr>
        <w:pStyle w:val="ListBullet"/>
      </w:pPr>
      <w:r>
        <w:rPr>
          <w:rFonts w:ascii="宋体" w:hAnsi="宋体" w:eastAsia="宋体"/>
          <w:b w:val="0"/>
          <w:sz w:val="24"/>
        </w:rPr>
        <w:t>法定代表人、联系人及联系方式</w:t>
      </w:r>
    </w:p>
    <w:p>
      <w:pPr>
        <w:pStyle w:val="ListBullet"/>
      </w:pPr>
      <w:r>
        <w:rPr>
          <w:rFonts w:ascii="宋体" w:hAnsi="宋体" w:eastAsia="宋体"/>
          <w:b w:val="0"/>
          <w:sz w:val="24"/>
        </w:rPr>
        <w:t>成立时间、股权结构、员工人数、主要子公司或分支机构情况</w:t>
      </w:r>
    </w:p>
    <w:p/>
    <w:p>
      <w:pPr>
        <w:spacing w:line="360" w:lineRule="auto"/>
        <w:ind w:firstLine="420"/>
      </w:pPr>
      <w:r>
        <w:rPr>
          <w:rFonts w:ascii="宋体" w:hAnsi="宋体" w:eastAsia="宋体"/>
          <w:b w:val="0"/>
          <w:sz w:val="24"/>
        </w:rPr>
        <w:t>1.2 行业与业务情况</w:t>
      </w:r>
    </w:p>
    <w:p>
      <w:pPr>
        <w:pStyle w:val="ListBullet"/>
      </w:pPr>
      <w:r>
        <w:rPr>
          <w:rFonts w:ascii="宋体" w:hAnsi="宋体" w:eastAsia="宋体"/>
          <w:b w:val="0"/>
          <w:sz w:val="24"/>
        </w:rPr>
        <w:t>所属行业及国民经济行业分类代码</w:t>
      </w:r>
    </w:p>
    <w:p>
      <w:pPr>
        <w:pStyle w:val="ListBullet"/>
      </w:pPr>
      <w:r>
        <w:rPr>
          <w:rFonts w:ascii="宋体" w:hAnsi="宋体" w:eastAsia="宋体"/>
          <w:b w:val="0"/>
          <w:sz w:val="24"/>
        </w:rPr>
        <w:t>主营业务、主要产品及产能情况</w:t>
      </w:r>
    </w:p>
    <w:p>
      <w:pPr>
        <w:pStyle w:val="ListBullet"/>
      </w:pPr>
      <w:r>
        <w:rPr>
          <w:rFonts w:ascii="宋体" w:hAnsi="宋体" w:eastAsia="宋体"/>
          <w:b w:val="0"/>
          <w:sz w:val="24"/>
        </w:rPr>
        <w:t>主要生产工艺和业务流程</w:t>
      </w:r>
    </w:p>
    <w:p>
      <w:pPr>
        <w:pStyle w:val="ListBullet"/>
      </w:pPr>
      <w:r>
        <w:rPr>
          <w:rFonts w:ascii="宋体" w:hAnsi="宋体" w:eastAsia="宋体"/>
          <w:b w:val="0"/>
          <w:sz w:val="24"/>
        </w:rPr>
        <w:t>上下游产业链情况及区域市场地位</w:t>
      </w:r>
    </w:p>
    <w:p/>
    <w:p>
      <w:pPr>
        <w:spacing w:line="360" w:lineRule="auto"/>
        <w:ind w:firstLine="420"/>
      </w:pPr>
      <w:r>
        <w:rPr>
          <w:rFonts w:ascii="宋体" w:hAnsi="宋体" w:eastAsia="宋体"/>
          <w:b w:val="0"/>
          <w:sz w:val="24"/>
        </w:rPr>
        <w:t>1.3 经营与信用情况</w:t>
      </w:r>
    </w:p>
    <w:p>
      <w:pPr>
        <w:pStyle w:val="ListBullet"/>
      </w:pPr>
      <w:r>
        <w:rPr>
          <w:rFonts w:ascii="宋体" w:hAnsi="宋体" w:eastAsia="宋体"/>
          <w:b w:val="0"/>
          <w:sz w:val="24"/>
        </w:rPr>
        <w:t>近三年营业收入、利润、资产负债等基本财务情况</w:t>
      </w:r>
    </w:p>
    <w:p>
      <w:pPr>
        <w:pStyle w:val="ListBullet"/>
      </w:pPr>
      <w:r>
        <w:rPr>
          <w:rFonts w:ascii="宋体" w:hAnsi="宋体" w:eastAsia="宋体"/>
          <w:b w:val="0"/>
          <w:sz w:val="24"/>
        </w:rPr>
        <w:t>近三年主要融资情况及存量贷款情况</w:t>
      </w:r>
    </w:p>
    <w:p>
      <w:pPr>
        <w:pStyle w:val="ListBullet"/>
      </w:pPr>
      <w:r>
        <w:rPr>
          <w:rFonts w:ascii="宋体" w:hAnsi="宋体" w:eastAsia="宋体"/>
          <w:b w:val="0"/>
          <w:sz w:val="24"/>
        </w:rPr>
        <w:t>近三年信用记录、环保处罚、行政处罚及合规情况说明</w:t>
      </w:r>
    </w:p>
    <w:p/>
    <w:p>
      <w:pPr>
        <w:spacing w:line="360" w:lineRule="auto"/>
        <w:ind w:firstLine="420"/>
      </w:pPr>
      <w:r>
        <w:rPr>
          <w:rFonts w:ascii="宋体" w:hAnsi="宋体" w:eastAsia="宋体"/>
          <w:b w:val="0"/>
          <w:sz w:val="24"/>
        </w:rPr>
        <w:t>1.4 能耗与碳排放基础</w:t>
      </w:r>
    </w:p>
    <w:p>
      <w:pPr>
        <w:pStyle w:val="ListBullet"/>
      </w:pPr>
      <w:r>
        <w:rPr>
          <w:rFonts w:ascii="宋体" w:hAnsi="宋体" w:eastAsia="宋体"/>
          <w:b w:val="0"/>
          <w:sz w:val="24"/>
        </w:rPr>
        <w:t>近两年至少一个完整年度的能源消费情况（煤、电、气、热、油等）</w:t>
      </w:r>
    </w:p>
    <w:p>
      <w:pPr>
        <w:pStyle w:val="ListBullet"/>
      </w:pPr>
      <w:r>
        <w:rPr>
          <w:rFonts w:ascii="宋体" w:hAnsi="宋体" w:eastAsia="宋体"/>
          <w:b w:val="0"/>
          <w:sz w:val="24"/>
        </w:rPr>
        <w:t>近两年至少一个完整年度的温室气体排放情况</w:t>
      </w:r>
    </w:p>
    <w:p>
      <w:pPr>
        <w:pStyle w:val="ListBullet"/>
      </w:pPr>
      <w:r>
        <w:rPr>
          <w:rFonts w:ascii="宋体" w:hAnsi="宋体" w:eastAsia="宋体"/>
          <w:b w:val="0"/>
          <w:sz w:val="24"/>
        </w:rPr>
        <w:t>单位产值碳排放强度或单位产品碳排放强度情况</w:t>
      </w:r>
    </w:p>
    <w:p>
      <w:pPr>
        <w:pStyle w:val="ListBullet"/>
      </w:pPr>
      <w:r>
        <w:rPr>
          <w:rFonts w:ascii="宋体" w:hAnsi="宋体" w:eastAsia="宋体"/>
          <w:b w:val="0"/>
          <w:sz w:val="24"/>
        </w:rPr>
        <w:t>如已开展碳核算、碳盘查、能效审计、节能评估等，请说明成果情况</w:t>
      </w:r>
    </w:p>
    <w:p/>
    <w:p>
      <w:r>
        <w:rPr>
          <w:rFonts w:ascii="宋体" w:hAnsi="宋体" w:eastAsia="宋体"/>
          <w:b/>
          <w:sz w:val="24"/>
        </w:rPr>
        <w:t>2. 转型基础与适配性判断</w:t>
      </w:r>
    </w:p>
    <w:p>
      <w:pPr>
        <w:spacing w:line="360" w:lineRule="auto"/>
        <w:ind w:firstLine="420"/>
      </w:pPr>
      <w:r>
        <w:rPr>
          <w:rFonts w:ascii="宋体" w:hAnsi="宋体" w:eastAsia="宋体"/>
          <w:b w:val="0"/>
          <w:sz w:val="24"/>
        </w:rPr>
        <w:t>2.1 政策与标准适配性</w:t>
      </w:r>
    </w:p>
    <w:p>
      <w:pPr>
        <w:pStyle w:val="ListBullet"/>
      </w:pPr>
      <w:r>
        <w:rPr>
          <w:rFonts w:ascii="宋体" w:hAnsi="宋体" w:eastAsia="宋体"/>
          <w:b w:val="0"/>
          <w:sz w:val="24"/>
        </w:rPr>
        <w:t>企业所属行业是否纳入转型金融标准试用范围</w:t>
      </w:r>
    </w:p>
    <w:p>
      <w:pPr>
        <w:pStyle w:val="ListBullet"/>
      </w:pPr>
      <w:r>
        <w:rPr>
          <w:rFonts w:ascii="宋体" w:hAnsi="宋体" w:eastAsia="宋体"/>
          <w:b w:val="0"/>
          <w:sz w:val="24"/>
        </w:rPr>
        <w:t>拟支持项目是否符合行业转型方向与技术路径</w:t>
      </w:r>
    </w:p>
    <w:p>
      <w:pPr>
        <w:pStyle w:val="ListBullet"/>
      </w:pPr>
      <w:r>
        <w:rPr>
          <w:rFonts w:ascii="宋体" w:hAnsi="宋体" w:eastAsia="宋体"/>
          <w:b w:val="0"/>
          <w:sz w:val="24"/>
        </w:rPr>
        <w:t>企业是否具备开展转型金融业务的基本资料与管理基础</w:t>
      </w:r>
    </w:p>
    <w:p/>
    <w:p>
      <w:pPr>
        <w:spacing w:line="360" w:lineRule="auto"/>
        <w:ind w:firstLine="420"/>
      </w:pPr>
      <w:r>
        <w:rPr>
          <w:rFonts w:ascii="宋体" w:hAnsi="宋体" w:eastAsia="宋体"/>
          <w:b w:val="0"/>
          <w:sz w:val="24"/>
        </w:rPr>
        <w:t>2.2 企业转型基础</w:t>
      </w:r>
    </w:p>
    <w:p>
      <w:pPr>
        <w:pStyle w:val="ListBullet"/>
      </w:pPr>
      <w:r>
        <w:rPr>
          <w:rFonts w:ascii="宋体" w:hAnsi="宋体" w:eastAsia="宋体"/>
          <w:b w:val="0"/>
          <w:sz w:val="24"/>
        </w:rPr>
        <w:t>当前生产技术水平与主要高耗能/高排放环节</w:t>
      </w:r>
    </w:p>
    <w:p>
      <w:pPr>
        <w:pStyle w:val="ListBullet"/>
      </w:pPr>
      <w:r>
        <w:rPr>
          <w:rFonts w:ascii="宋体" w:hAnsi="宋体" w:eastAsia="宋体"/>
          <w:b w:val="0"/>
          <w:sz w:val="24"/>
        </w:rPr>
        <w:t>既有节能降碳工作基础</w:t>
      </w:r>
    </w:p>
    <w:p>
      <w:pPr>
        <w:pStyle w:val="ListBullet"/>
      </w:pPr>
      <w:r>
        <w:rPr>
          <w:rFonts w:ascii="宋体" w:hAnsi="宋体" w:eastAsia="宋体"/>
          <w:b w:val="0"/>
          <w:sz w:val="24"/>
        </w:rPr>
        <w:t>已实施或拟实施的绿色低碳改造项目</w:t>
      </w:r>
    </w:p>
    <w:p>
      <w:pPr>
        <w:pStyle w:val="ListBullet"/>
      </w:pPr>
      <w:r>
        <w:rPr>
          <w:rFonts w:ascii="宋体" w:hAnsi="宋体" w:eastAsia="宋体"/>
          <w:b w:val="0"/>
          <w:sz w:val="24"/>
        </w:rPr>
        <w:t>企业管理层对低碳转型的重视程度及组织基础</w:t>
      </w:r>
    </w:p>
    <w:p/>
    <w:p>
      <w:pPr>
        <w:spacing w:line="360" w:lineRule="auto"/>
        <w:ind w:firstLine="420"/>
      </w:pPr>
      <w:r>
        <w:rPr>
          <w:rFonts w:ascii="宋体" w:hAnsi="宋体" w:eastAsia="宋体"/>
          <w:b w:val="0"/>
          <w:sz w:val="24"/>
        </w:rPr>
        <w:t>2.3 主要问题与转型必要性</w:t>
      </w:r>
    </w:p>
    <w:p>
      <w:pPr>
        <w:pStyle w:val="ListBullet"/>
      </w:pPr>
      <w:r>
        <w:rPr>
          <w:rFonts w:ascii="宋体" w:hAnsi="宋体" w:eastAsia="宋体"/>
          <w:b w:val="0"/>
          <w:sz w:val="24"/>
        </w:rPr>
        <w:t>当前能耗、排放、设备、工艺或产品结构方面的主要问题</w:t>
      </w:r>
    </w:p>
    <w:p>
      <w:pPr>
        <w:pStyle w:val="ListBullet"/>
      </w:pPr>
      <w:r>
        <w:rPr>
          <w:rFonts w:ascii="宋体" w:hAnsi="宋体" w:eastAsia="宋体"/>
          <w:b w:val="0"/>
          <w:sz w:val="24"/>
        </w:rPr>
        <w:t>面临的政策约束、市场压力、成本压力或客户要求</w:t>
      </w:r>
    </w:p>
    <w:p>
      <w:pPr>
        <w:pStyle w:val="ListBullet"/>
      </w:pPr>
      <w:r>
        <w:rPr>
          <w:rFonts w:ascii="宋体" w:hAnsi="宋体" w:eastAsia="宋体"/>
          <w:b w:val="0"/>
          <w:sz w:val="24"/>
        </w:rPr>
        <w:t>实施转型的必要性与紧迫性</w:t>
      </w:r>
    </w:p>
    <w:p/>
    <w:p>
      <w:r>
        <w:rPr>
          <w:rFonts w:ascii="宋体" w:hAnsi="宋体" w:eastAsia="宋体"/>
          <w:b/>
          <w:sz w:val="24"/>
        </w:rPr>
        <w:t>3. 转型战略与目标</w:t>
      </w:r>
    </w:p>
    <w:p>
      <w:pPr>
        <w:spacing w:line="360" w:lineRule="auto"/>
        <w:ind w:firstLine="420"/>
      </w:pPr>
      <w:r>
        <w:rPr>
          <w:rFonts w:ascii="宋体" w:hAnsi="宋体" w:eastAsia="宋体"/>
          <w:b w:val="0"/>
          <w:sz w:val="24"/>
        </w:rPr>
        <w:t>3.1 转型总体思路</w:t>
      </w:r>
    </w:p>
    <w:p>
      <w:pPr>
        <w:pStyle w:val="ListBullet"/>
      </w:pPr>
      <w:r>
        <w:rPr>
          <w:rFonts w:ascii="宋体" w:hAnsi="宋体" w:eastAsia="宋体"/>
          <w:b w:val="0"/>
          <w:sz w:val="24"/>
        </w:rPr>
        <w:t>围绕国家“双碳”目标、行业低碳发展方向和企业经营战略，明确总体转型方向</w:t>
      </w:r>
    </w:p>
    <w:p/>
    <w:p>
      <w:pPr>
        <w:spacing w:line="360" w:lineRule="auto"/>
        <w:ind w:firstLine="420"/>
      </w:pPr>
      <w:r>
        <w:rPr>
          <w:rFonts w:ascii="宋体" w:hAnsi="宋体" w:eastAsia="宋体"/>
          <w:b w:val="0"/>
          <w:sz w:val="24"/>
        </w:rPr>
        <w:t>3.2 分阶段转型目标</w:t>
      </w:r>
    </w:p>
    <w:p>
      <w:pPr>
        <w:pStyle w:val="ListBullet"/>
      </w:pPr>
      <w:r>
        <w:rPr>
          <w:rFonts w:ascii="宋体" w:hAnsi="宋体" w:eastAsia="宋体"/>
          <w:b w:val="0"/>
          <w:sz w:val="24"/>
        </w:rPr>
        <w:t>短期目标（建议至2025年或未来1—2年）</w:t>
      </w:r>
    </w:p>
    <w:p>
      <w:pPr>
        <w:pStyle w:val="ListBullet"/>
      </w:pPr>
      <w:r>
        <w:rPr>
          <w:rFonts w:ascii="宋体" w:hAnsi="宋体" w:eastAsia="宋体"/>
          <w:b w:val="0"/>
          <w:sz w:val="24"/>
        </w:rPr>
        <w:t>中期目标（建议至2030年）</w:t>
      </w:r>
    </w:p>
    <w:p>
      <w:pPr>
        <w:pStyle w:val="ListBullet"/>
      </w:pPr>
      <w:r>
        <w:rPr>
          <w:rFonts w:ascii="宋体" w:hAnsi="宋体" w:eastAsia="宋体"/>
          <w:b w:val="0"/>
          <w:sz w:val="24"/>
        </w:rPr>
        <w:t>长期目标（建议与碳中和远景衔接）</w:t>
      </w:r>
    </w:p>
    <w:p/>
    <w:p>
      <w:pPr>
        <w:spacing w:line="360" w:lineRule="auto"/>
        <w:ind w:firstLine="420"/>
      </w:pPr>
      <w:r>
        <w:rPr>
          <w:rFonts w:ascii="宋体" w:hAnsi="宋体" w:eastAsia="宋体"/>
          <w:b w:val="0"/>
          <w:sz w:val="24"/>
        </w:rPr>
        <w:t>3.3 目标设置建议</w:t>
      </w:r>
    </w:p>
    <w:p>
      <w:pPr>
        <w:pStyle w:val="ListBullet"/>
      </w:pPr>
      <w:r>
        <w:rPr>
          <w:rFonts w:ascii="宋体" w:hAnsi="宋体" w:eastAsia="宋体"/>
          <w:b w:val="0"/>
          <w:sz w:val="24"/>
        </w:rPr>
        <w:t>碳强度下降目标</w:t>
      </w:r>
    </w:p>
    <w:p>
      <w:pPr>
        <w:pStyle w:val="ListBullet"/>
      </w:pPr>
      <w:r>
        <w:rPr>
          <w:rFonts w:ascii="宋体" w:hAnsi="宋体" w:eastAsia="宋体"/>
          <w:b w:val="0"/>
          <w:sz w:val="24"/>
        </w:rPr>
        <w:t>综合能耗下降目标</w:t>
      </w:r>
    </w:p>
    <w:p>
      <w:pPr>
        <w:pStyle w:val="ListBullet"/>
      </w:pPr>
      <w:r>
        <w:rPr>
          <w:rFonts w:ascii="宋体" w:hAnsi="宋体" w:eastAsia="宋体"/>
          <w:b w:val="0"/>
          <w:sz w:val="24"/>
        </w:rPr>
        <w:t>能效提升目标</w:t>
      </w:r>
    </w:p>
    <w:p>
      <w:pPr>
        <w:pStyle w:val="ListBullet"/>
      </w:pPr>
      <w:r>
        <w:rPr>
          <w:rFonts w:ascii="宋体" w:hAnsi="宋体" w:eastAsia="宋体"/>
          <w:b w:val="0"/>
          <w:sz w:val="24"/>
        </w:rPr>
        <w:t>清洁能源替代目标</w:t>
      </w:r>
    </w:p>
    <w:p>
      <w:pPr>
        <w:pStyle w:val="ListBullet"/>
      </w:pPr>
      <w:r>
        <w:rPr>
          <w:rFonts w:ascii="宋体" w:hAnsi="宋体" w:eastAsia="宋体"/>
          <w:b w:val="0"/>
          <w:sz w:val="24"/>
        </w:rPr>
        <w:t>关键工艺升级或产品结构优化目标</w:t>
      </w:r>
    </w:p>
    <w:p/>
    <w:p>
      <w:r>
        <w:rPr>
          <w:rFonts w:ascii="宋体" w:hAnsi="宋体" w:eastAsia="宋体"/>
          <w:b/>
          <w:sz w:val="24"/>
        </w:rPr>
        <w:t>4. 未来3—5年转型项目与降碳计划</w:t>
      </w:r>
    </w:p>
    <w:p>
      <w:pPr>
        <w:spacing w:line="360" w:lineRule="auto"/>
        <w:ind w:firstLine="420"/>
      </w:pPr>
      <w:r>
        <w:rPr>
          <w:rFonts w:ascii="宋体" w:hAnsi="宋体" w:eastAsia="宋体"/>
          <w:b w:val="0"/>
          <w:sz w:val="24"/>
        </w:rPr>
        <w:t>4.1 项目总体安排</w:t>
      </w:r>
    </w:p>
    <w:p>
      <w:pPr>
        <w:pStyle w:val="ListBullet"/>
      </w:pPr>
      <w:r>
        <w:rPr>
          <w:rFonts w:ascii="宋体" w:hAnsi="宋体" w:eastAsia="宋体"/>
          <w:b w:val="0"/>
          <w:sz w:val="24"/>
        </w:rPr>
        <w:t>按年度列示未来3—5年重点转型项目</w:t>
      </w:r>
    </w:p>
    <w:p>
      <w:pPr>
        <w:pStyle w:val="ListBullet"/>
      </w:pPr>
      <w:r>
        <w:rPr>
          <w:rFonts w:ascii="宋体" w:hAnsi="宋体" w:eastAsia="宋体"/>
          <w:b w:val="0"/>
          <w:sz w:val="24"/>
        </w:rPr>
        <w:t>明确项目启动时间、建设周期和实施顺序</w:t>
      </w:r>
    </w:p>
    <w:p/>
    <w:p>
      <w:pPr>
        <w:spacing w:line="360" w:lineRule="auto"/>
        <w:ind w:firstLine="420"/>
      </w:pPr>
      <w:r>
        <w:rPr>
          <w:rFonts w:ascii="宋体" w:hAnsi="宋体" w:eastAsia="宋体"/>
          <w:b w:val="0"/>
          <w:sz w:val="24"/>
        </w:rPr>
        <w:t>4.2 单个项目信息建议包括</w:t>
      </w:r>
    </w:p>
    <w:p>
      <w:pPr>
        <w:pStyle w:val="ListBullet"/>
      </w:pPr>
      <w:r>
        <w:rPr>
          <w:rFonts w:ascii="宋体" w:hAnsi="宋体" w:eastAsia="宋体"/>
          <w:b w:val="0"/>
          <w:sz w:val="24"/>
        </w:rPr>
        <w:t>项目名称</w:t>
      </w:r>
    </w:p>
    <w:p>
      <w:pPr>
        <w:pStyle w:val="ListBullet"/>
      </w:pPr>
      <w:r>
        <w:rPr>
          <w:rFonts w:ascii="宋体" w:hAnsi="宋体" w:eastAsia="宋体"/>
          <w:b w:val="0"/>
          <w:sz w:val="24"/>
        </w:rPr>
        <w:t>项目建设内容</w:t>
      </w:r>
    </w:p>
    <w:p>
      <w:pPr>
        <w:pStyle w:val="ListBullet"/>
      </w:pPr>
      <w:r>
        <w:rPr>
          <w:rFonts w:ascii="宋体" w:hAnsi="宋体" w:eastAsia="宋体"/>
          <w:b w:val="0"/>
          <w:sz w:val="24"/>
        </w:rPr>
        <w:t>对应转型技术或实施路径</w:t>
      </w:r>
    </w:p>
    <w:p>
      <w:pPr>
        <w:pStyle w:val="ListBullet"/>
      </w:pPr>
      <w:r>
        <w:rPr>
          <w:rFonts w:ascii="宋体" w:hAnsi="宋体" w:eastAsia="宋体"/>
          <w:b w:val="0"/>
          <w:sz w:val="24"/>
        </w:rPr>
        <w:t>关联工序或生产环节</w:t>
      </w:r>
    </w:p>
    <w:p>
      <w:pPr>
        <w:pStyle w:val="ListBullet"/>
      </w:pPr>
      <w:r>
        <w:rPr>
          <w:rFonts w:ascii="宋体" w:hAnsi="宋体" w:eastAsia="宋体"/>
          <w:b w:val="0"/>
          <w:sz w:val="24"/>
        </w:rPr>
        <w:t>投资金额</w:t>
      </w:r>
    </w:p>
    <w:p>
      <w:pPr>
        <w:pStyle w:val="ListBullet"/>
      </w:pPr>
      <w:r>
        <w:rPr>
          <w:rFonts w:ascii="宋体" w:hAnsi="宋体" w:eastAsia="宋体"/>
          <w:b w:val="0"/>
          <w:sz w:val="24"/>
        </w:rPr>
        <w:t>预计节能降碳效果</w:t>
      </w:r>
    </w:p>
    <w:p>
      <w:pPr>
        <w:pStyle w:val="ListBullet"/>
      </w:pPr>
      <w:r>
        <w:rPr>
          <w:rFonts w:ascii="宋体" w:hAnsi="宋体" w:eastAsia="宋体"/>
          <w:b w:val="0"/>
          <w:sz w:val="24"/>
        </w:rPr>
        <w:t>项目实施前后主要指标变化</w:t>
      </w:r>
    </w:p>
    <w:p>
      <w:pPr>
        <w:pStyle w:val="ListBullet"/>
      </w:pPr>
      <w:r>
        <w:rPr>
          <w:rFonts w:ascii="宋体" w:hAnsi="宋体" w:eastAsia="宋体"/>
          <w:b w:val="0"/>
          <w:sz w:val="24"/>
        </w:rPr>
        <w:t>项目当前进展与计划安排</w:t>
      </w:r>
    </w:p>
    <w:p/>
    <w:p>
      <w:pPr>
        <w:spacing w:line="360" w:lineRule="auto"/>
        <w:ind w:firstLine="420"/>
      </w:pPr>
      <w:r>
        <w:rPr>
          <w:rFonts w:ascii="宋体" w:hAnsi="宋体" w:eastAsia="宋体"/>
          <w:b w:val="0"/>
          <w:sz w:val="24"/>
        </w:rPr>
        <w:t>4.3 整体降碳路径说明</w:t>
      </w:r>
    </w:p>
    <w:p>
      <w:pPr>
        <w:pStyle w:val="ListBullet"/>
      </w:pPr>
      <w:r>
        <w:rPr>
          <w:rFonts w:ascii="宋体" w:hAnsi="宋体" w:eastAsia="宋体"/>
          <w:b w:val="0"/>
          <w:sz w:val="24"/>
        </w:rPr>
        <w:t>说明各项目之间的逻辑关系</w:t>
      </w:r>
    </w:p>
    <w:p>
      <w:pPr>
        <w:pStyle w:val="ListBullet"/>
      </w:pPr>
      <w:r>
        <w:rPr>
          <w:rFonts w:ascii="宋体" w:hAnsi="宋体" w:eastAsia="宋体"/>
          <w:b w:val="0"/>
          <w:sz w:val="24"/>
        </w:rPr>
        <w:t>说明项目实施后对企业整体碳强度、能耗和经营效率的改善作用</w:t>
      </w:r>
    </w:p>
    <w:p/>
    <w:p>
      <w:r>
        <w:rPr>
          <w:rFonts w:ascii="宋体" w:hAnsi="宋体" w:eastAsia="宋体"/>
          <w:b/>
          <w:sz w:val="24"/>
        </w:rPr>
        <w:t>5. 财务测算与融资需求</w:t>
      </w:r>
    </w:p>
    <w:p>
      <w:pPr>
        <w:spacing w:line="360" w:lineRule="auto"/>
        <w:ind w:firstLine="420"/>
      </w:pPr>
      <w:r>
        <w:rPr>
          <w:rFonts w:ascii="宋体" w:hAnsi="宋体" w:eastAsia="宋体"/>
          <w:b w:val="0"/>
          <w:sz w:val="24"/>
        </w:rPr>
        <w:t>5.1 转型投资估算</w:t>
      </w:r>
    </w:p>
    <w:p>
      <w:pPr>
        <w:pStyle w:val="ListBullet"/>
      </w:pPr>
      <w:r>
        <w:rPr>
          <w:rFonts w:ascii="宋体" w:hAnsi="宋体" w:eastAsia="宋体"/>
          <w:b w:val="0"/>
          <w:sz w:val="24"/>
        </w:rPr>
        <w:t>未来3—5年转型项目总投资</w:t>
      </w:r>
    </w:p>
    <w:p>
      <w:pPr>
        <w:pStyle w:val="ListBullet"/>
      </w:pPr>
      <w:r>
        <w:rPr>
          <w:rFonts w:ascii="宋体" w:hAnsi="宋体" w:eastAsia="宋体"/>
          <w:b w:val="0"/>
          <w:sz w:val="24"/>
        </w:rPr>
        <w:t>分年度投资安排</w:t>
      </w:r>
    </w:p>
    <w:p>
      <w:pPr>
        <w:pStyle w:val="ListBullet"/>
      </w:pPr>
      <w:r>
        <w:rPr>
          <w:rFonts w:ascii="宋体" w:hAnsi="宋体" w:eastAsia="宋体"/>
          <w:b w:val="0"/>
          <w:sz w:val="24"/>
        </w:rPr>
        <w:t>已投入金额和待投入金额</w:t>
      </w:r>
    </w:p>
    <w:p/>
    <w:p>
      <w:pPr>
        <w:spacing w:line="360" w:lineRule="auto"/>
        <w:ind w:firstLine="420"/>
      </w:pPr>
      <w:r>
        <w:rPr>
          <w:rFonts w:ascii="宋体" w:hAnsi="宋体" w:eastAsia="宋体"/>
          <w:b w:val="0"/>
          <w:sz w:val="24"/>
        </w:rPr>
        <w:t>5.2 资金来源安排</w:t>
      </w:r>
    </w:p>
    <w:p>
      <w:pPr>
        <w:pStyle w:val="ListBullet"/>
      </w:pPr>
      <w:r>
        <w:rPr>
          <w:rFonts w:ascii="宋体" w:hAnsi="宋体" w:eastAsia="宋体"/>
          <w:b w:val="0"/>
          <w:sz w:val="24"/>
        </w:rPr>
        <w:t>自有资金安排</w:t>
      </w:r>
    </w:p>
    <w:p>
      <w:pPr>
        <w:pStyle w:val="ListBullet"/>
      </w:pPr>
      <w:r>
        <w:rPr>
          <w:rFonts w:ascii="宋体" w:hAnsi="宋体" w:eastAsia="宋体"/>
          <w:b w:val="0"/>
          <w:sz w:val="24"/>
        </w:rPr>
        <w:t>银行融资需求</w:t>
      </w:r>
    </w:p>
    <w:p>
      <w:pPr>
        <w:pStyle w:val="ListBullet"/>
      </w:pPr>
      <w:r>
        <w:rPr>
          <w:rFonts w:ascii="宋体" w:hAnsi="宋体" w:eastAsia="宋体"/>
          <w:b w:val="0"/>
          <w:sz w:val="24"/>
        </w:rPr>
        <w:t>其他外部融资安排（如有）</w:t>
      </w:r>
    </w:p>
    <w:p/>
    <w:p>
      <w:pPr>
        <w:spacing w:line="360" w:lineRule="auto"/>
        <w:ind w:firstLine="420"/>
      </w:pPr>
      <w:r>
        <w:rPr>
          <w:rFonts w:ascii="宋体" w:hAnsi="宋体" w:eastAsia="宋体"/>
          <w:b w:val="0"/>
          <w:sz w:val="24"/>
        </w:rPr>
        <w:t>5.3 融资需求设计</w:t>
      </w:r>
    </w:p>
    <w:p>
      <w:pPr>
        <w:pStyle w:val="ListBullet"/>
      </w:pPr>
      <w:r>
        <w:rPr>
          <w:rFonts w:ascii="宋体" w:hAnsi="宋体" w:eastAsia="宋体"/>
          <w:b w:val="0"/>
          <w:sz w:val="24"/>
        </w:rPr>
        <w:t>意向融资金额</w:t>
      </w:r>
    </w:p>
    <w:p>
      <w:pPr>
        <w:pStyle w:val="ListBullet"/>
      </w:pPr>
      <w:r>
        <w:rPr>
          <w:rFonts w:ascii="宋体" w:hAnsi="宋体" w:eastAsia="宋体"/>
          <w:b w:val="0"/>
          <w:sz w:val="24"/>
        </w:rPr>
        <w:t>融资期限建议</w:t>
      </w:r>
    </w:p>
    <w:p>
      <w:pPr>
        <w:pStyle w:val="ListBullet"/>
      </w:pPr>
      <w:r>
        <w:rPr>
          <w:rFonts w:ascii="宋体" w:hAnsi="宋体" w:eastAsia="宋体"/>
          <w:b w:val="0"/>
          <w:sz w:val="24"/>
        </w:rPr>
        <w:t>资金用途说明</w:t>
      </w:r>
    </w:p>
    <w:p>
      <w:pPr>
        <w:pStyle w:val="ListBullet"/>
      </w:pPr>
      <w:r>
        <w:rPr>
          <w:rFonts w:ascii="宋体" w:hAnsi="宋体" w:eastAsia="宋体"/>
          <w:b w:val="0"/>
          <w:sz w:val="24"/>
        </w:rPr>
        <w:t>预计还款来源</w:t>
      </w:r>
    </w:p>
    <w:p>
      <w:pPr>
        <w:pStyle w:val="ListBullet"/>
      </w:pPr>
      <w:r>
        <w:rPr>
          <w:rFonts w:ascii="宋体" w:hAnsi="宋体" w:eastAsia="宋体"/>
          <w:b w:val="0"/>
          <w:sz w:val="24"/>
        </w:rPr>
        <w:t>与项目实施节奏的匹配关系</w:t>
      </w:r>
    </w:p>
    <w:p/>
    <w:p>
      <w:r>
        <w:rPr>
          <w:rFonts w:ascii="宋体" w:hAnsi="宋体" w:eastAsia="宋体"/>
          <w:b/>
          <w:sz w:val="24"/>
        </w:rPr>
        <w:t>6. 转型计划实施的保障措施</w:t>
      </w:r>
    </w:p>
    <w:p>
      <w:pPr>
        <w:spacing w:line="360" w:lineRule="auto"/>
        <w:ind w:firstLine="420"/>
      </w:pPr>
      <w:r>
        <w:rPr>
          <w:rFonts w:ascii="宋体" w:hAnsi="宋体" w:eastAsia="宋体"/>
          <w:b w:val="0"/>
          <w:sz w:val="24"/>
        </w:rPr>
        <w:t>6.1 组织保障</w:t>
      </w:r>
    </w:p>
    <w:p>
      <w:pPr>
        <w:pStyle w:val="ListBullet"/>
      </w:pPr>
      <w:r>
        <w:rPr>
          <w:rFonts w:ascii="宋体" w:hAnsi="宋体" w:eastAsia="宋体"/>
          <w:b w:val="0"/>
          <w:sz w:val="24"/>
        </w:rPr>
        <w:t>是否设置转型计划牵头部门</w:t>
      </w:r>
    </w:p>
    <w:p>
      <w:pPr>
        <w:pStyle w:val="ListBullet"/>
      </w:pPr>
      <w:r>
        <w:rPr>
          <w:rFonts w:ascii="宋体" w:hAnsi="宋体" w:eastAsia="宋体"/>
          <w:b w:val="0"/>
          <w:sz w:val="24"/>
        </w:rPr>
        <w:t>是否建立跨部门协同机制</w:t>
      </w:r>
    </w:p>
    <w:p>
      <w:pPr>
        <w:pStyle w:val="ListBullet"/>
      </w:pPr>
      <w:r>
        <w:rPr>
          <w:rFonts w:ascii="宋体" w:hAnsi="宋体" w:eastAsia="宋体"/>
          <w:b w:val="0"/>
          <w:sz w:val="24"/>
        </w:rPr>
        <w:t>管理层是否参与统筹推动</w:t>
      </w:r>
    </w:p>
    <w:p/>
    <w:p>
      <w:pPr>
        <w:spacing w:line="360" w:lineRule="auto"/>
        <w:ind w:firstLine="420"/>
      </w:pPr>
      <w:r>
        <w:rPr>
          <w:rFonts w:ascii="宋体" w:hAnsi="宋体" w:eastAsia="宋体"/>
          <w:b w:val="0"/>
          <w:sz w:val="24"/>
        </w:rPr>
        <w:t>6.2 人员与能力建设</w:t>
      </w:r>
    </w:p>
    <w:p>
      <w:pPr>
        <w:pStyle w:val="ListBullet"/>
      </w:pPr>
      <w:r>
        <w:rPr>
          <w:rFonts w:ascii="宋体" w:hAnsi="宋体" w:eastAsia="宋体"/>
          <w:b w:val="0"/>
          <w:sz w:val="24"/>
        </w:rPr>
        <w:t>是否配置绿色低碳相关专业人员</w:t>
      </w:r>
    </w:p>
    <w:p>
      <w:pPr>
        <w:pStyle w:val="ListBullet"/>
      </w:pPr>
      <w:r>
        <w:rPr>
          <w:rFonts w:ascii="宋体" w:hAnsi="宋体" w:eastAsia="宋体"/>
          <w:b w:val="0"/>
          <w:sz w:val="24"/>
        </w:rPr>
        <w:t>是否开展员工培训、技术培训或数据管理培训</w:t>
      </w:r>
    </w:p>
    <w:p/>
    <w:p>
      <w:pPr>
        <w:spacing w:line="360" w:lineRule="auto"/>
        <w:ind w:firstLine="420"/>
      </w:pPr>
      <w:r>
        <w:rPr>
          <w:rFonts w:ascii="宋体" w:hAnsi="宋体" w:eastAsia="宋体"/>
          <w:b w:val="0"/>
          <w:sz w:val="24"/>
        </w:rPr>
        <w:t>6.3 监督管理与绩效考核</w:t>
      </w:r>
    </w:p>
    <w:p>
      <w:pPr>
        <w:pStyle w:val="ListBullet"/>
      </w:pPr>
      <w:r>
        <w:rPr>
          <w:rFonts w:ascii="宋体" w:hAnsi="宋体" w:eastAsia="宋体"/>
          <w:b w:val="0"/>
          <w:sz w:val="24"/>
        </w:rPr>
        <w:t>是否建立转型目标、碳排放或关键绩效指标监测机制</w:t>
      </w:r>
    </w:p>
    <w:p>
      <w:pPr>
        <w:pStyle w:val="ListBullet"/>
      </w:pPr>
      <w:r>
        <w:rPr>
          <w:rFonts w:ascii="宋体" w:hAnsi="宋体" w:eastAsia="宋体"/>
          <w:b w:val="0"/>
          <w:sz w:val="24"/>
        </w:rPr>
        <w:t>是否将转型目标纳入相关部门或岗位考核</w:t>
      </w:r>
    </w:p>
    <w:p/>
    <w:p>
      <w:pPr>
        <w:spacing w:line="360" w:lineRule="auto"/>
        <w:ind w:firstLine="420"/>
      </w:pPr>
      <w:r>
        <w:rPr>
          <w:rFonts w:ascii="宋体" w:hAnsi="宋体" w:eastAsia="宋体"/>
          <w:b w:val="0"/>
          <w:sz w:val="24"/>
        </w:rPr>
        <w:t>6.4 风险识别与管控</w:t>
      </w:r>
    </w:p>
    <w:p>
      <w:pPr>
        <w:pStyle w:val="ListBullet"/>
      </w:pPr>
      <w:r>
        <w:rPr>
          <w:rFonts w:ascii="宋体" w:hAnsi="宋体" w:eastAsia="宋体"/>
          <w:b w:val="0"/>
          <w:sz w:val="24"/>
        </w:rPr>
        <w:t>政策风险</w:t>
      </w:r>
    </w:p>
    <w:p>
      <w:pPr>
        <w:pStyle w:val="ListBullet"/>
      </w:pPr>
      <w:r>
        <w:rPr>
          <w:rFonts w:ascii="宋体" w:hAnsi="宋体" w:eastAsia="宋体"/>
          <w:b w:val="0"/>
          <w:sz w:val="24"/>
        </w:rPr>
        <w:t>市场风险</w:t>
      </w:r>
    </w:p>
    <w:p>
      <w:pPr>
        <w:pStyle w:val="ListBullet"/>
      </w:pPr>
      <w:r>
        <w:rPr>
          <w:rFonts w:ascii="宋体" w:hAnsi="宋体" w:eastAsia="宋体"/>
          <w:b w:val="0"/>
          <w:sz w:val="24"/>
        </w:rPr>
        <w:t>技术风险</w:t>
      </w:r>
    </w:p>
    <w:p>
      <w:pPr>
        <w:pStyle w:val="ListBullet"/>
      </w:pPr>
      <w:r>
        <w:rPr>
          <w:rFonts w:ascii="宋体" w:hAnsi="宋体" w:eastAsia="宋体"/>
          <w:b w:val="0"/>
          <w:sz w:val="24"/>
        </w:rPr>
        <w:t>经营与资金风险</w:t>
      </w:r>
    </w:p>
    <w:p>
      <w:pPr>
        <w:pStyle w:val="ListBullet"/>
      </w:pPr>
      <w:r>
        <w:rPr>
          <w:rFonts w:ascii="宋体" w:hAnsi="宋体" w:eastAsia="宋体"/>
          <w:b w:val="0"/>
          <w:sz w:val="24"/>
        </w:rPr>
        <w:t>相应防范措施</w:t>
      </w:r>
    </w:p>
    <w:p/>
    <w:p>
      <w:r>
        <w:rPr>
          <w:rFonts w:ascii="宋体" w:hAnsi="宋体" w:eastAsia="宋体"/>
          <w:b/>
          <w:sz w:val="24"/>
        </w:rPr>
        <w:t>7. 公正转型与社会责任</w:t>
      </w:r>
    </w:p>
    <w:p>
      <w:pPr>
        <w:spacing w:line="360" w:lineRule="auto"/>
        <w:ind w:firstLine="420"/>
      </w:pPr>
      <w:r>
        <w:rPr>
          <w:rFonts w:ascii="宋体" w:hAnsi="宋体" w:eastAsia="宋体"/>
          <w:b w:val="0"/>
          <w:sz w:val="24"/>
        </w:rPr>
        <w:t>7.1 对员工和就业的影响</w:t>
      </w:r>
    </w:p>
    <w:p>
      <w:pPr>
        <w:pStyle w:val="ListBullet"/>
      </w:pPr>
      <w:r>
        <w:rPr>
          <w:rFonts w:ascii="宋体" w:hAnsi="宋体" w:eastAsia="宋体"/>
          <w:b w:val="0"/>
          <w:sz w:val="24"/>
        </w:rPr>
        <w:t>转型计划是否会影响员工人数、岗位结构和收入水平</w:t>
      </w:r>
    </w:p>
    <w:p/>
    <w:p>
      <w:pPr>
        <w:spacing w:line="360" w:lineRule="auto"/>
        <w:ind w:firstLine="420"/>
      </w:pPr>
      <w:r>
        <w:rPr>
          <w:rFonts w:ascii="宋体" w:hAnsi="宋体" w:eastAsia="宋体"/>
          <w:b w:val="0"/>
          <w:sz w:val="24"/>
        </w:rPr>
        <w:t>7.2 对供应链和区域民生的影响</w:t>
      </w:r>
    </w:p>
    <w:p>
      <w:pPr>
        <w:pStyle w:val="ListBullet"/>
      </w:pPr>
      <w:r>
        <w:rPr>
          <w:rFonts w:ascii="宋体" w:hAnsi="宋体" w:eastAsia="宋体"/>
          <w:b w:val="0"/>
          <w:sz w:val="24"/>
        </w:rPr>
        <w:t>是否会对上下游企业、区域供应稳定或价格产生明显影响</w:t>
      </w:r>
    </w:p>
    <w:p/>
    <w:p>
      <w:pPr>
        <w:spacing w:line="360" w:lineRule="auto"/>
        <w:ind w:firstLine="420"/>
      </w:pPr>
      <w:r>
        <w:rPr>
          <w:rFonts w:ascii="宋体" w:hAnsi="宋体" w:eastAsia="宋体"/>
          <w:b w:val="0"/>
          <w:sz w:val="24"/>
        </w:rPr>
        <w:t>7.3 无重大损害原则</w:t>
      </w:r>
    </w:p>
    <w:p>
      <w:pPr>
        <w:pStyle w:val="ListBullet"/>
      </w:pPr>
      <w:r>
        <w:rPr>
          <w:rFonts w:ascii="宋体" w:hAnsi="宋体" w:eastAsia="宋体"/>
          <w:b w:val="0"/>
          <w:sz w:val="24"/>
        </w:rPr>
        <w:t>转型项目是否可能造成新的环境污染、生态破坏或其他可持续发展负面影响</w:t>
      </w:r>
    </w:p>
    <w:p>
      <w:pPr>
        <w:pStyle w:val="ListBullet"/>
      </w:pPr>
      <w:r>
        <w:rPr>
          <w:rFonts w:ascii="宋体" w:hAnsi="宋体" w:eastAsia="宋体"/>
          <w:b w:val="0"/>
          <w:sz w:val="24"/>
        </w:rPr>
        <w:t>如存在潜在影响，拟采取何种缓释措施</w:t>
      </w:r>
    </w:p>
    <w:p/>
    <w:p>
      <w:r>
        <w:rPr>
          <w:rFonts w:ascii="宋体" w:hAnsi="宋体" w:eastAsia="宋体"/>
          <w:b/>
          <w:sz w:val="24"/>
        </w:rPr>
        <w:t>8. 信息披露与承诺责任</w:t>
      </w:r>
    </w:p>
    <w:p>
      <w:pPr>
        <w:spacing w:line="360" w:lineRule="auto"/>
        <w:ind w:firstLine="420"/>
      </w:pPr>
      <w:r>
        <w:rPr>
          <w:rFonts w:ascii="宋体" w:hAnsi="宋体" w:eastAsia="宋体"/>
          <w:b w:val="0"/>
          <w:sz w:val="24"/>
        </w:rPr>
        <w:t>8.1 信息披露安排</w:t>
      </w:r>
    </w:p>
    <w:p>
      <w:pPr>
        <w:pStyle w:val="ListBullet"/>
      </w:pPr>
      <w:r>
        <w:rPr>
          <w:rFonts w:ascii="宋体" w:hAnsi="宋体" w:eastAsia="宋体"/>
          <w:b w:val="0"/>
          <w:sz w:val="24"/>
        </w:rPr>
        <w:t>转型计划落实情况</w:t>
      </w:r>
    </w:p>
    <w:p>
      <w:pPr>
        <w:pStyle w:val="ListBullet"/>
      </w:pPr>
      <w:r>
        <w:rPr>
          <w:rFonts w:ascii="宋体" w:hAnsi="宋体" w:eastAsia="宋体"/>
          <w:b w:val="0"/>
          <w:sz w:val="24"/>
        </w:rPr>
        <w:t>阶段性目标进展情况</w:t>
      </w:r>
    </w:p>
    <w:p>
      <w:pPr>
        <w:pStyle w:val="ListBullet"/>
      </w:pPr>
      <w:r>
        <w:rPr>
          <w:rFonts w:ascii="宋体" w:hAnsi="宋体" w:eastAsia="宋体"/>
          <w:b w:val="0"/>
          <w:sz w:val="24"/>
        </w:rPr>
        <w:t>转型融资资金使用情况</w:t>
      </w:r>
    </w:p>
    <w:p>
      <w:pPr>
        <w:pStyle w:val="ListBullet"/>
      </w:pPr>
      <w:r>
        <w:rPr>
          <w:rFonts w:ascii="宋体" w:hAnsi="宋体" w:eastAsia="宋体"/>
          <w:b w:val="0"/>
          <w:sz w:val="24"/>
        </w:rPr>
        <w:t>关键绩效指标完成情况</w:t>
      </w:r>
    </w:p>
    <w:p>
      <w:pPr>
        <w:pStyle w:val="ListBullet"/>
      </w:pPr>
      <w:r>
        <w:rPr>
          <w:rFonts w:ascii="宋体" w:hAnsi="宋体" w:eastAsia="宋体"/>
          <w:b w:val="0"/>
          <w:sz w:val="24"/>
        </w:rPr>
        <w:t>公正转型相关情况</w:t>
      </w:r>
    </w:p>
    <w:p/>
    <w:p>
      <w:pPr>
        <w:spacing w:line="360" w:lineRule="auto"/>
        <w:ind w:firstLine="420"/>
      </w:pPr>
      <w:r>
        <w:rPr>
          <w:rFonts w:ascii="宋体" w:hAnsi="宋体" w:eastAsia="宋体"/>
          <w:b w:val="0"/>
          <w:sz w:val="24"/>
        </w:rPr>
        <w:t>8.2 披露方式</w:t>
      </w:r>
    </w:p>
    <w:p>
      <w:pPr>
        <w:pStyle w:val="ListBullet"/>
      </w:pPr>
      <w:r>
        <w:rPr>
          <w:rFonts w:ascii="宋体" w:hAnsi="宋体" w:eastAsia="宋体"/>
          <w:b w:val="0"/>
          <w:sz w:val="24"/>
        </w:rPr>
        <w:t>向银行定期提供</w:t>
      </w:r>
    </w:p>
    <w:p>
      <w:pPr>
        <w:pStyle w:val="ListBullet"/>
      </w:pPr>
      <w:r>
        <w:rPr>
          <w:rFonts w:ascii="宋体" w:hAnsi="宋体" w:eastAsia="宋体"/>
          <w:b w:val="0"/>
          <w:sz w:val="24"/>
        </w:rPr>
        <w:t>授权相关平台采集并供银行查阅</w:t>
      </w:r>
    </w:p>
    <w:p>
      <w:pPr>
        <w:pStyle w:val="ListBullet"/>
      </w:pPr>
      <w:r>
        <w:rPr>
          <w:rFonts w:ascii="宋体" w:hAnsi="宋体" w:eastAsia="宋体"/>
          <w:b w:val="0"/>
          <w:sz w:val="24"/>
        </w:rPr>
        <w:t>其他双方认可的方式</w:t>
      </w:r>
    </w:p>
    <w:p/>
    <w:p>
      <w:pPr>
        <w:spacing w:line="360" w:lineRule="auto"/>
        <w:ind w:firstLine="420"/>
      </w:pPr>
      <w:r>
        <w:rPr>
          <w:rFonts w:ascii="宋体" w:hAnsi="宋体" w:eastAsia="宋体"/>
          <w:b w:val="0"/>
          <w:sz w:val="24"/>
        </w:rPr>
        <w:t>8.3 企业承诺</w:t>
      </w:r>
    </w:p>
    <w:p>
      <w:pPr>
        <w:pStyle w:val="ListBullet"/>
      </w:pPr>
      <w:r>
        <w:rPr>
          <w:rFonts w:ascii="宋体" w:hAnsi="宋体" w:eastAsia="宋体"/>
          <w:b w:val="0"/>
          <w:sz w:val="24"/>
        </w:rPr>
        <w:t>所提供资料真实、准确、完整</w:t>
      </w:r>
    </w:p>
    <w:p>
      <w:pPr>
        <w:pStyle w:val="ListBullet"/>
      </w:pPr>
      <w:r>
        <w:rPr>
          <w:rFonts w:ascii="宋体" w:hAnsi="宋体" w:eastAsia="宋体"/>
          <w:b w:val="0"/>
          <w:sz w:val="24"/>
        </w:rPr>
        <w:t>近三年信用与合规情况良好</w:t>
      </w:r>
    </w:p>
    <w:p>
      <w:pPr>
        <w:pStyle w:val="ListBullet"/>
      </w:pPr>
      <w:r>
        <w:rPr>
          <w:rFonts w:ascii="宋体" w:hAnsi="宋体" w:eastAsia="宋体"/>
          <w:b w:val="0"/>
          <w:sz w:val="24"/>
        </w:rPr>
        <w:t>愿意按银行要求持续配合信息报送、进展跟踪和效果评估</w:t>
      </w:r>
    </w:p>
    <w:p/>
    <w:p>
      <w:r>
        <w:rPr>
          <w:rFonts w:ascii="宋体" w:hAnsi="宋体" w:eastAsia="宋体"/>
          <w:b/>
          <w:sz w:val="28"/>
        </w:rPr>
        <w:t>三、资料收集清单</w:t>
      </w:r>
    </w:p>
    <w:p/>
    <w:p>
      <w:pPr>
        <w:spacing w:line="360" w:lineRule="auto"/>
        <w:ind w:firstLine="420"/>
      </w:pPr>
      <w:r>
        <w:rPr>
          <w:rFonts w:ascii="宋体" w:hAnsi="宋体" w:eastAsia="宋体"/>
          <w:b w:val="0"/>
          <w:sz w:val="24"/>
        </w:rPr>
        <w:t>为便于编制企业转型规划，建议银行向目标企业收集以下资料：</w:t>
      </w:r>
    </w:p>
    <w:p/>
    <w:p>
      <w:r>
        <w:rPr>
          <w:rFonts w:ascii="宋体" w:hAnsi="宋体" w:eastAsia="宋体"/>
          <w:b/>
          <w:sz w:val="24"/>
        </w:rPr>
        <w:t>（一）基础资料</w:t>
      </w:r>
    </w:p>
    <w:p>
      <w:pPr>
        <w:pStyle w:val="ListNumber"/>
      </w:pPr>
      <w:r>
        <w:rPr>
          <w:rFonts w:ascii="宋体" w:hAnsi="宋体" w:eastAsia="宋体"/>
          <w:b w:val="0"/>
          <w:sz w:val="24"/>
        </w:rPr>
        <w:t>企业营业执照、组织架构图、主要子公司情况</w:t>
      </w:r>
    </w:p>
    <w:p>
      <w:pPr>
        <w:pStyle w:val="ListNumber"/>
      </w:pPr>
      <w:r>
        <w:rPr>
          <w:rFonts w:ascii="宋体" w:hAnsi="宋体" w:eastAsia="宋体"/>
          <w:b w:val="0"/>
          <w:sz w:val="24"/>
        </w:rPr>
        <w:t>企业简介、主要产品介绍、生产工艺说明</w:t>
      </w:r>
    </w:p>
    <w:p>
      <w:pPr>
        <w:pStyle w:val="ListNumber"/>
      </w:pPr>
      <w:r>
        <w:rPr>
          <w:rFonts w:ascii="宋体" w:hAnsi="宋体" w:eastAsia="宋体"/>
          <w:b w:val="0"/>
          <w:sz w:val="24"/>
        </w:rPr>
        <w:t>厂区分布、主要生产装置或生产线清单</w:t>
      </w:r>
    </w:p>
    <w:p>
      <w:pPr>
        <w:pStyle w:val="ListNumber"/>
      </w:pPr>
      <w:r>
        <w:rPr>
          <w:rFonts w:ascii="宋体" w:hAnsi="宋体" w:eastAsia="宋体"/>
          <w:b w:val="0"/>
          <w:sz w:val="24"/>
        </w:rPr>
        <w:t>近三年审计报告或财务报表</w:t>
      </w:r>
    </w:p>
    <w:p>
      <w:pPr>
        <w:pStyle w:val="ListNumber"/>
      </w:pPr>
      <w:r>
        <w:rPr>
          <w:rFonts w:ascii="宋体" w:hAnsi="宋体" w:eastAsia="宋体"/>
          <w:b w:val="0"/>
          <w:sz w:val="24"/>
        </w:rPr>
        <w:t>近三年主要融资与授信情况说明</w:t>
      </w:r>
    </w:p>
    <w:p/>
    <w:p>
      <w:r>
        <w:rPr>
          <w:rFonts w:ascii="宋体" w:hAnsi="宋体" w:eastAsia="宋体"/>
          <w:b/>
          <w:sz w:val="24"/>
        </w:rPr>
        <w:t>（二）生产经营与技术资料</w:t>
      </w:r>
    </w:p>
    <w:p>
      <w:pPr>
        <w:pStyle w:val="ListNumber"/>
      </w:pPr>
      <w:r>
        <w:rPr>
          <w:rFonts w:ascii="宋体" w:hAnsi="宋体" w:eastAsia="宋体"/>
          <w:b w:val="0"/>
          <w:sz w:val="24"/>
        </w:rPr>
        <w:t>近两年至近三年的产量、产值、主要原材料消耗数据</w:t>
      </w:r>
    </w:p>
    <w:p>
      <w:pPr>
        <w:pStyle w:val="ListNumber"/>
      </w:pPr>
      <w:r>
        <w:rPr>
          <w:rFonts w:ascii="宋体" w:hAnsi="宋体" w:eastAsia="宋体"/>
          <w:b w:val="0"/>
          <w:sz w:val="24"/>
        </w:rPr>
        <w:t>主要生产工艺流程图及关键设备清单</w:t>
      </w:r>
    </w:p>
    <w:p>
      <w:pPr>
        <w:pStyle w:val="ListNumber"/>
      </w:pPr>
      <w:r>
        <w:rPr>
          <w:rFonts w:ascii="宋体" w:hAnsi="宋体" w:eastAsia="宋体"/>
          <w:b w:val="0"/>
          <w:sz w:val="24"/>
        </w:rPr>
        <w:t>现有节能、环保、技改项目资料</w:t>
      </w:r>
    </w:p>
    <w:p>
      <w:pPr>
        <w:pStyle w:val="ListNumber"/>
      </w:pPr>
      <w:r>
        <w:rPr>
          <w:rFonts w:ascii="宋体" w:hAnsi="宋体" w:eastAsia="宋体"/>
          <w:b w:val="0"/>
          <w:sz w:val="24"/>
        </w:rPr>
        <w:t>技术改造、设备更新、能源替代等拟实施项目立项或内部方案</w:t>
      </w:r>
    </w:p>
    <w:p>
      <w:pPr>
        <w:pStyle w:val="ListNumber"/>
      </w:pPr>
      <w:r>
        <w:rPr>
          <w:rFonts w:ascii="宋体" w:hAnsi="宋体" w:eastAsia="宋体"/>
          <w:b w:val="0"/>
          <w:sz w:val="24"/>
        </w:rPr>
        <w:t>能评、环评、节能验收、环保验收等相关文件（如有）</w:t>
      </w:r>
    </w:p>
    <w:p/>
    <w:p>
      <w:r>
        <w:rPr>
          <w:rFonts w:ascii="宋体" w:hAnsi="宋体" w:eastAsia="宋体"/>
          <w:b/>
          <w:sz w:val="24"/>
        </w:rPr>
        <w:t>（三）能源与碳排放资料</w:t>
      </w:r>
    </w:p>
    <w:p>
      <w:pPr>
        <w:pStyle w:val="ListNumber"/>
      </w:pPr>
      <w:r>
        <w:rPr>
          <w:rFonts w:ascii="宋体" w:hAnsi="宋体" w:eastAsia="宋体"/>
          <w:b w:val="0"/>
          <w:sz w:val="24"/>
        </w:rPr>
        <w:t>近两年至少一个完整年度的煤、电、气、热、油等能源消耗数据</w:t>
      </w:r>
    </w:p>
    <w:p>
      <w:pPr>
        <w:pStyle w:val="ListNumber"/>
      </w:pPr>
      <w:r>
        <w:rPr>
          <w:rFonts w:ascii="宋体" w:hAnsi="宋体" w:eastAsia="宋体"/>
          <w:b w:val="0"/>
          <w:sz w:val="24"/>
        </w:rPr>
        <w:t>电费单、燃料采购凭证、能源统计台账等支撑材料</w:t>
      </w:r>
    </w:p>
    <w:p>
      <w:pPr>
        <w:pStyle w:val="ListNumber"/>
      </w:pPr>
      <w:r>
        <w:rPr>
          <w:rFonts w:ascii="宋体" w:hAnsi="宋体" w:eastAsia="宋体"/>
          <w:b w:val="0"/>
          <w:sz w:val="24"/>
        </w:rPr>
        <w:t>已开展碳核算、碳盘查、温室气体排放报告的相关材料</w:t>
      </w:r>
    </w:p>
    <w:p>
      <w:pPr>
        <w:pStyle w:val="ListNumber"/>
      </w:pPr>
      <w:r>
        <w:rPr>
          <w:rFonts w:ascii="宋体" w:hAnsi="宋体" w:eastAsia="宋体"/>
          <w:b w:val="0"/>
          <w:sz w:val="24"/>
        </w:rPr>
        <w:t>单位产品综合能耗、单位产值能耗或碳排强度相关数据</w:t>
      </w:r>
    </w:p>
    <w:p>
      <w:pPr>
        <w:pStyle w:val="ListNumber"/>
      </w:pPr>
      <w:r>
        <w:rPr>
          <w:rFonts w:ascii="宋体" w:hAnsi="宋体" w:eastAsia="宋体"/>
          <w:b w:val="0"/>
          <w:sz w:val="24"/>
        </w:rPr>
        <w:t>节能降碳目标、历史完成情况及相关管理制度</w:t>
      </w:r>
    </w:p>
    <w:p/>
    <w:p>
      <w:r>
        <w:rPr>
          <w:rFonts w:ascii="宋体" w:hAnsi="宋体" w:eastAsia="宋体"/>
          <w:b/>
          <w:sz w:val="24"/>
        </w:rPr>
        <w:t>（四）转型项目与投资资料</w:t>
      </w:r>
    </w:p>
    <w:p>
      <w:pPr>
        <w:pStyle w:val="ListNumber"/>
      </w:pPr>
      <w:r>
        <w:rPr>
          <w:rFonts w:ascii="宋体" w:hAnsi="宋体" w:eastAsia="宋体"/>
          <w:b w:val="0"/>
          <w:sz w:val="24"/>
        </w:rPr>
        <w:t>拟纳入转型规划的项目清单</w:t>
      </w:r>
    </w:p>
    <w:p>
      <w:pPr>
        <w:pStyle w:val="ListNumber"/>
      </w:pPr>
      <w:r>
        <w:rPr>
          <w:rFonts w:ascii="宋体" w:hAnsi="宋体" w:eastAsia="宋体"/>
          <w:b w:val="0"/>
          <w:sz w:val="24"/>
        </w:rPr>
        <w:t>各项目建设内容、投资估算、建设周期和预期效益</w:t>
      </w:r>
    </w:p>
    <w:p>
      <w:pPr>
        <w:pStyle w:val="ListNumber"/>
      </w:pPr>
      <w:r>
        <w:rPr>
          <w:rFonts w:ascii="宋体" w:hAnsi="宋体" w:eastAsia="宋体"/>
          <w:b w:val="0"/>
          <w:sz w:val="24"/>
        </w:rPr>
        <w:t>各项目预计节能量、减排量或能效提升效果</w:t>
      </w:r>
    </w:p>
    <w:p>
      <w:pPr>
        <w:pStyle w:val="ListNumber"/>
      </w:pPr>
      <w:r>
        <w:rPr>
          <w:rFonts w:ascii="宋体" w:hAnsi="宋体" w:eastAsia="宋体"/>
          <w:b w:val="0"/>
          <w:sz w:val="24"/>
        </w:rPr>
        <w:t>项目已完成的审批、备案或内部决策材料（如有）</w:t>
      </w:r>
    </w:p>
    <w:p>
      <w:pPr>
        <w:pStyle w:val="ListNumber"/>
      </w:pPr>
      <w:r>
        <w:rPr>
          <w:rFonts w:ascii="宋体" w:hAnsi="宋体" w:eastAsia="宋体"/>
          <w:b w:val="0"/>
          <w:sz w:val="24"/>
        </w:rPr>
        <w:t>项目资金筹措方案、自有资金安排及融资需求说明</w:t>
      </w:r>
    </w:p>
    <w:p/>
    <w:p>
      <w:r>
        <w:rPr>
          <w:rFonts w:ascii="宋体" w:hAnsi="宋体" w:eastAsia="宋体"/>
          <w:b/>
          <w:sz w:val="24"/>
        </w:rPr>
        <w:t>（五）管理与制度资料</w:t>
      </w:r>
    </w:p>
    <w:p>
      <w:pPr>
        <w:pStyle w:val="ListNumber"/>
      </w:pPr>
      <w:r>
        <w:rPr>
          <w:rFonts w:ascii="宋体" w:hAnsi="宋体" w:eastAsia="宋体"/>
          <w:b w:val="0"/>
          <w:sz w:val="24"/>
        </w:rPr>
        <w:t>环境管理制度、节能管理制度、碳排放管理制度</w:t>
      </w:r>
    </w:p>
    <w:p>
      <w:pPr>
        <w:pStyle w:val="ListNumber"/>
      </w:pPr>
      <w:r>
        <w:rPr>
          <w:rFonts w:ascii="宋体" w:hAnsi="宋体" w:eastAsia="宋体"/>
          <w:b w:val="0"/>
          <w:sz w:val="24"/>
        </w:rPr>
        <w:t>转型计划相关组织分工说明</w:t>
      </w:r>
    </w:p>
    <w:p>
      <w:pPr>
        <w:pStyle w:val="ListNumber"/>
      </w:pPr>
      <w:r>
        <w:rPr>
          <w:rFonts w:ascii="宋体" w:hAnsi="宋体" w:eastAsia="宋体"/>
          <w:b w:val="0"/>
          <w:sz w:val="24"/>
        </w:rPr>
        <w:t>风险管理、绩效考核、信息披露等制度材料</w:t>
      </w:r>
    </w:p>
    <w:p>
      <w:pPr>
        <w:pStyle w:val="ListNumber"/>
      </w:pPr>
      <w:r>
        <w:rPr>
          <w:rFonts w:ascii="宋体" w:hAnsi="宋体" w:eastAsia="宋体"/>
          <w:b w:val="0"/>
          <w:sz w:val="24"/>
        </w:rPr>
        <w:t>员工培训、技术研发或外部合作情况说明</w:t>
      </w:r>
    </w:p>
    <w:p/>
    <w:p>
      <w:r>
        <w:rPr>
          <w:rFonts w:ascii="宋体" w:hAnsi="宋体" w:eastAsia="宋体"/>
          <w:b/>
          <w:sz w:val="24"/>
        </w:rPr>
        <w:t>（六）合规与社会责任资料</w:t>
      </w:r>
    </w:p>
    <w:p>
      <w:pPr>
        <w:pStyle w:val="ListNumber"/>
      </w:pPr>
      <w:r>
        <w:rPr>
          <w:rFonts w:ascii="宋体" w:hAnsi="宋体" w:eastAsia="宋体"/>
          <w:b w:val="0"/>
          <w:sz w:val="24"/>
        </w:rPr>
        <w:t>近三年行政处罚、环保处罚、信用记录说明</w:t>
      </w:r>
    </w:p>
    <w:p>
      <w:pPr>
        <w:pStyle w:val="ListNumber"/>
      </w:pPr>
      <w:r>
        <w:rPr>
          <w:rFonts w:ascii="宋体" w:hAnsi="宋体" w:eastAsia="宋体"/>
          <w:b w:val="0"/>
          <w:sz w:val="24"/>
        </w:rPr>
        <w:t>安全生产、环保合规、排污许可等相关材料</w:t>
      </w:r>
    </w:p>
    <w:p>
      <w:pPr>
        <w:pStyle w:val="ListNumber"/>
      </w:pPr>
      <w:r>
        <w:rPr>
          <w:rFonts w:ascii="宋体" w:hAnsi="宋体" w:eastAsia="宋体"/>
          <w:b w:val="0"/>
          <w:sz w:val="24"/>
        </w:rPr>
        <w:t>如涉及员工安置、供应链变化、区域民生影响等事项，请提供专项说明</w:t>
      </w:r>
    </w:p>
    <w:p/>
    <w:p>
      <w:r>
        <w:rPr>
          <w:rFonts w:ascii="宋体" w:hAnsi="宋体" w:eastAsia="宋体"/>
          <w:b/>
          <w:sz w:val="28"/>
        </w:rPr>
        <w:t>四、规划编制方法建议</w:t>
      </w:r>
    </w:p>
    <w:p>
      <w:pPr>
        <w:pStyle w:val="ListNumber"/>
      </w:pPr>
      <w:r>
        <w:rPr>
          <w:rFonts w:ascii="宋体" w:hAnsi="宋体" w:eastAsia="宋体"/>
          <w:b w:val="0"/>
          <w:sz w:val="24"/>
        </w:rPr>
        <w:t>**坚持真实、审慎、可执行原则。** 对于企业尚未掌握或无法验证的数据，不宜虚构，应明确为“待补充”或“待测算”。</w:t>
      </w:r>
    </w:p>
    <w:p>
      <w:pPr>
        <w:pStyle w:val="ListNumber"/>
      </w:pPr>
      <w:r>
        <w:rPr>
          <w:rFonts w:ascii="宋体" w:hAnsi="宋体" w:eastAsia="宋体"/>
          <w:b w:val="0"/>
          <w:sz w:val="24"/>
        </w:rPr>
        <w:t>**坚持标准导向。** 应对照内蒙古转型金融试用标准逐项核验企业和项目的适配性，不宜简单以“高碳行业”替代“符合转型标准”。</w:t>
      </w:r>
    </w:p>
    <w:p>
      <w:pPr>
        <w:pStyle w:val="ListNumber"/>
      </w:pPr>
      <w:r>
        <w:rPr>
          <w:rFonts w:ascii="宋体" w:hAnsi="宋体" w:eastAsia="宋体"/>
          <w:b w:val="0"/>
          <w:sz w:val="24"/>
        </w:rPr>
        <w:t>**坚持融资衔接。** 规划内容应与企业真实项目、真实投资和真实资金用途相对应，便于后续与银行授信逻辑相匹配。</w:t>
      </w:r>
    </w:p>
    <w:p>
      <w:pPr>
        <w:pStyle w:val="ListNumber"/>
      </w:pPr>
      <w:r>
        <w:rPr>
          <w:rFonts w:ascii="宋体" w:hAnsi="宋体" w:eastAsia="宋体"/>
          <w:b w:val="0"/>
          <w:sz w:val="24"/>
        </w:rPr>
        <w:t>**坚持动态更新。** 企业转型规划不是一次性文件，可根据政策变化、项目实施进度和经营情况进行滚动更新。</w:t>
      </w:r>
    </w:p>
    <w:p/>
    <w:p>
      <w:r>
        <w:rPr>
          <w:rFonts w:ascii="宋体" w:hAnsi="宋体" w:eastAsia="宋体"/>
          <w:b/>
          <w:sz w:val="28"/>
        </w:rPr>
        <w:t>五、银行使用建议</w:t>
      </w:r>
    </w:p>
    <w:p>
      <w:pPr>
        <w:pStyle w:val="ListNumber"/>
      </w:pPr>
      <w:r>
        <w:rPr>
          <w:rFonts w:ascii="宋体" w:hAnsi="宋体" w:eastAsia="宋体"/>
          <w:b w:val="0"/>
          <w:sz w:val="24"/>
        </w:rPr>
        <w:t>在项目前期，用本大纲与资料清单对企业进行沟通和摸底；</w:t>
      </w:r>
    </w:p>
    <w:p>
      <w:pPr>
        <w:pStyle w:val="ListNumber"/>
      </w:pPr>
      <w:r>
        <w:rPr>
          <w:rFonts w:ascii="宋体" w:hAnsi="宋体" w:eastAsia="宋体"/>
          <w:b w:val="0"/>
          <w:sz w:val="24"/>
        </w:rPr>
        <w:t>在筛选阶段，重点判断企业是否具备明确转型项目、较好的资料基础和可落地融资场景；</w:t>
      </w:r>
    </w:p>
    <w:p>
      <w:pPr>
        <w:pStyle w:val="ListNumber"/>
      </w:pPr>
      <w:r>
        <w:rPr>
          <w:rFonts w:ascii="宋体" w:hAnsi="宋体" w:eastAsia="宋体"/>
          <w:b w:val="0"/>
          <w:sz w:val="24"/>
        </w:rPr>
        <w:t>在撰写阶段，由银行、企业和服务机构共同确认关键数据、关键目标和关键项目；</w:t>
      </w:r>
    </w:p>
    <w:p>
      <w:pPr>
        <w:pStyle w:val="ListNumber"/>
      </w:pPr>
      <w:r>
        <w:rPr>
          <w:rFonts w:ascii="宋体" w:hAnsi="宋体" w:eastAsia="宋体"/>
          <w:b w:val="0"/>
          <w:sz w:val="24"/>
        </w:rPr>
        <w:t>在融资落地后，结合规划中的阶段性目标与信息披露安排，开展持续跟踪与管理。</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