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0EF2A">
      <w:pPr>
        <w:widowControl w:val="0"/>
        <w:spacing w:after="0" w:line="560" w:lineRule="exact"/>
        <w:ind w:firstLine="420" w:firstLineChars="200"/>
        <w:jc w:val="both"/>
        <w:rPr>
          <w:rFonts w:ascii="仿宋-GB2312" w:hAnsi="仿宋" w:eastAsia="仿宋-GB2312" w:cs="仿宋"/>
          <w:kern w:val="2"/>
          <w:sz w:val="32"/>
          <w:szCs w:val="32"/>
          <w:lang w:eastAsia="zh-CN"/>
        </w:rPr>
      </w:pPr>
      <w:r>
        <w:rPr>
          <w:rFonts w:hint="eastAsia"/>
          <w:lang w:val="en-US" w:eastAsia="zh-CN"/>
        </w:rPr>
        <w:t>背景：</w:t>
      </w:r>
      <w:r>
        <w:rPr>
          <w:rFonts w:hint="eastAsia" w:ascii="仿宋-GB2312" w:hAnsi="仿宋" w:eastAsia="仿宋-GB2312" w:cs="仿宋"/>
          <w:kern w:val="2"/>
          <w:sz w:val="32"/>
          <w:szCs w:val="32"/>
          <w:lang w:eastAsia="zh-CN"/>
        </w:rPr>
        <w:t>在中国人民银行等金融管理部门的推动和引导下，我国转型金融在政策完善、标准建设、信息披露与市场参与等层面均取得显著进展。越来越多的地区和金融机构开始探索转型金融发展，以支持实体经济绿色转型。</w:t>
      </w:r>
    </w:p>
    <w:p w14:paraId="5F63E9DC">
      <w:pPr>
        <w:widowControl w:val="0"/>
        <w:spacing w:after="0" w:line="560" w:lineRule="exact"/>
        <w:ind w:firstLine="640" w:firstLineChars="200"/>
        <w:jc w:val="both"/>
        <w:rPr>
          <w:rFonts w:ascii="仿宋-GB2312" w:hAnsi="仿宋" w:eastAsia="仿宋-GB2312" w:cs="仿宋"/>
          <w:kern w:val="2"/>
          <w:sz w:val="32"/>
          <w:szCs w:val="32"/>
          <w:lang w:eastAsia="zh-CN"/>
        </w:rPr>
      </w:pPr>
      <w:r>
        <w:rPr>
          <w:rFonts w:hint="eastAsia" w:ascii="仿宋-GB2312" w:hAnsi="仿宋" w:eastAsia="仿宋-GB2312" w:cs="仿宋"/>
          <w:kern w:val="2"/>
          <w:sz w:val="32"/>
          <w:szCs w:val="32"/>
          <w:lang w:eastAsia="zh-CN"/>
        </w:rPr>
        <w:t>顶层政策密集出台，强调金融支持绿色低碳转型的重要性。2024年3月，中国人民银行等七部门发布《关于进一步强化金融支持绿色低碳发展的指导意见》，明确要引导金融资源支持高排放行业绿色低碳转型和可再生能源项目建设，加大金融对绿色低碳发展的支持力度。2025年1月，国家金融监督管理总局办公厅和中国人民银行办公厅印发《银行业保险业绿色金融高质量发展实施方案》，再次强调金融机构要“有力推动经济社会发展全面绿色转型，积极参与美丽中国建设，有效助力如期实现碳达峰、碳中和目标。”2025年3月，国务院办公厅《关于做好金融“五篇大文章”的指导意见》，指出“引导金融机构将绿色低碳转型因素纳入资产组合管理考量，丰富绿色金融和转型金融产品服务。”</w:t>
      </w:r>
    </w:p>
    <w:p w14:paraId="170F8154">
      <w:pPr>
        <w:widowControl w:val="0"/>
        <w:spacing w:after="0" w:line="560" w:lineRule="exact"/>
        <w:ind w:firstLine="640" w:firstLineChars="200"/>
        <w:jc w:val="both"/>
        <w:rPr>
          <w:rFonts w:ascii="仿宋-GB2312" w:hAnsi="仿宋" w:eastAsia="仿宋-GB2312" w:cs="仿宋"/>
          <w:kern w:val="2"/>
          <w:sz w:val="32"/>
          <w:szCs w:val="32"/>
          <w:lang w:eastAsia="zh-CN"/>
        </w:rPr>
      </w:pPr>
      <w:r>
        <w:rPr>
          <w:rFonts w:hint="eastAsia" w:ascii="仿宋-GB2312" w:hAnsi="仿宋" w:eastAsia="仿宋-GB2312" w:cs="仿宋"/>
          <w:kern w:val="2"/>
          <w:sz w:val="32"/>
          <w:szCs w:val="32"/>
          <w:lang w:eastAsia="zh-CN"/>
        </w:rPr>
        <w:t>人民银行高度重视转型金融发展，积极推动相关工作。一是完善标准体系。中国人民银行牵头起草的煤电、钢铁、建材、农业等十一个行业的转型金融标准已经多次论证，并在多个省市开展了试用工作。二是完善激励约束机制。中国人民银行不断提升绿色金融评价的有效性和针对性，在最新版绿色金融评价方案中，已增加转型金融与转型规划相关考核指标。</w:t>
      </w:r>
    </w:p>
    <w:p w14:paraId="48E13647">
      <w:pPr>
        <w:widowControl w:val="0"/>
        <w:spacing w:after="0" w:line="560" w:lineRule="exact"/>
        <w:ind w:firstLine="640" w:firstLineChars="200"/>
        <w:jc w:val="both"/>
        <w:rPr>
          <w:rFonts w:ascii="仿宋-GB2312" w:hAnsi="仿宋" w:eastAsia="仿宋-GB2312" w:cs="仿宋"/>
          <w:kern w:val="2"/>
          <w:sz w:val="32"/>
          <w:szCs w:val="32"/>
          <w:lang w:eastAsia="zh-CN"/>
        </w:rPr>
      </w:pPr>
      <w:r>
        <w:rPr>
          <w:rFonts w:hint="eastAsia" w:ascii="仿宋-GB2312" w:hAnsi="仿宋" w:eastAsia="仿宋-GB2312" w:cs="仿宋"/>
          <w:kern w:val="2"/>
          <w:sz w:val="32"/>
          <w:szCs w:val="32"/>
          <w:lang w:eastAsia="zh-CN"/>
        </w:rPr>
        <w:t>信息披露规则强化对转型计划的约束。2025年4月30日，财政部与生态环境部联合发布了《企业可持续披露准则第1号——气候（试行）》征求意见稿（以下简称“气候准则征求意见稿”），其中第十二条提出企业应当披露“气候转型计划，包括制定转型计划时使用的关键假设以及依据”和“计划如何实现其设定的气候目标和国家法律法规、战略规划要求企业实现的目标”。2026年，中国人民银行修订完成《金融机构可持续信息披露指南》并开展试用，明确要求金融机构披露与可持续相关的战略规划及实施情况，包括采用定性或定量方式披露投融资碳排放、绿色投融资和自身运营碳减排目标。</w:t>
      </w:r>
    </w:p>
    <w:p w14:paraId="02EC1591">
      <w:pPr>
        <w:widowControl w:val="0"/>
        <w:spacing w:after="0" w:line="560" w:lineRule="exact"/>
        <w:ind w:firstLine="640" w:firstLineChars="200"/>
        <w:jc w:val="both"/>
        <w:rPr>
          <w:rFonts w:ascii="仿宋-GB2312" w:hAnsi="仿宋" w:eastAsia="仿宋-GB2312" w:cs="仿宋"/>
          <w:kern w:val="2"/>
          <w:sz w:val="32"/>
          <w:szCs w:val="32"/>
          <w:lang w:eastAsia="zh-CN"/>
        </w:rPr>
      </w:pPr>
      <w:r>
        <w:rPr>
          <w:rFonts w:hint="eastAsia" w:ascii="仿宋-GB2312" w:hAnsi="仿宋" w:eastAsia="仿宋-GB2312" w:cs="仿宋"/>
          <w:kern w:val="2"/>
          <w:sz w:val="32"/>
          <w:szCs w:val="32"/>
          <w:lang w:eastAsia="zh-CN"/>
        </w:rPr>
        <w:t>转型金融市场基础不断夯实。作为转型金融的重要支持者，金融机构加快创新转型金融工具。虽然目前转型金融产品仍然以信贷、债券等债务性融资工具为主，但基金、保险等其他工具也在稳步发展，金融资源向绿色低碳领域加速配置。市场参与主体日益多元，银行、保险、资管等机构积极布局转型金融业务，企业绿色融资需求快速增长，转型金融逐步成为连接产业低碳转型与金融资源配置的重要桥梁。</w:t>
      </w:r>
    </w:p>
    <w:p w14:paraId="62EC3E69">
      <w:pPr>
        <w:rPr>
          <w:rFonts w:hint="eastAsia" w:eastAsiaTheme="minorEastAsia"/>
          <w:lang w:val="en-US" w:eastAsia="zh-CN"/>
        </w:rPr>
      </w:pPr>
    </w:p>
    <w:p w14:paraId="4726D03E">
      <w:pPr>
        <w:rPr>
          <w:rFonts w:hint="eastAsia"/>
        </w:rPr>
      </w:pPr>
    </w:p>
    <w:p w14:paraId="3CA93BD5">
      <w:pPr>
        <w:rPr>
          <w:rFonts w:hint="eastAsia"/>
          <w:lang w:val="en-US" w:eastAsia="zh-CN"/>
        </w:rPr>
      </w:pPr>
      <w:r>
        <w:rPr>
          <w:rFonts w:hint="eastAsia"/>
          <w:lang w:val="en-US" w:eastAsia="zh-CN"/>
        </w:rPr>
        <w:t>服务内容：</w:t>
      </w:r>
    </w:p>
    <w:p w14:paraId="3B216BD3">
      <w:pPr>
        <w:rPr>
          <w:rFonts w:hint="eastAsia"/>
          <w:lang w:val="en-US" w:eastAsia="zh-CN"/>
        </w:rPr>
      </w:pPr>
      <w:r>
        <w:rPr>
          <w:rFonts w:hint="eastAsia"/>
          <w:lang w:val="en-US" w:eastAsia="zh-CN"/>
        </w:rPr>
        <w:t>筛选符合转型金融要求和转型技术路径的客户</w:t>
      </w:r>
    </w:p>
    <w:p w14:paraId="14364657">
      <w:pPr>
        <w:rPr>
          <w:rFonts w:hint="eastAsia"/>
          <w:lang w:val="en-US" w:eastAsia="zh-CN"/>
        </w:rPr>
      </w:pPr>
      <w:r>
        <w:rPr>
          <w:rFonts w:hint="eastAsia"/>
          <w:lang w:val="en-US" w:eastAsia="zh-CN"/>
        </w:rPr>
        <w:t>标准研读，编制企业转型规划大纲后对企业进行数据收集</w:t>
      </w:r>
    </w:p>
    <w:p w14:paraId="53419DB0">
      <w:pPr>
        <w:rPr>
          <w:rFonts w:hint="eastAsia"/>
        </w:rPr>
      </w:pPr>
      <w:r>
        <w:rPr>
          <w:rFonts w:hint="eastAsia"/>
        </w:rPr>
        <w:t>根据人民银行转型金融试点标准及</w:t>
      </w:r>
      <w:r>
        <w:rPr>
          <w:rFonts w:hint="eastAsia"/>
          <w:lang w:val="en-US" w:eastAsia="zh-CN"/>
        </w:rPr>
        <w:t>内蒙古自治区</w:t>
      </w:r>
      <w:r>
        <w:rPr>
          <w:rFonts w:hint="eastAsia"/>
        </w:rPr>
        <w:t>转型金融工作推进要求，支持符合</w:t>
      </w:r>
      <w:r>
        <w:rPr>
          <w:rFonts w:hint="eastAsia"/>
          <w:lang w:val="en-US" w:eastAsia="zh-CN"/>
        </w:rPr>
        <w:t>高碳行业行业</w:t>
      </w:r>
      <w:r>
        <w:rPr>
          <w:rFonts w:hint="eastAsia"/>
        </w:rPr>
        <w:t>经济活动（含项目）和企业层面的转型，本研究为</w:t>
      </w:r>
      <w:r>
        <w:rPr>
          <w:rFonts w:hint="eastAsia"/>
          <w:lang w:val="en-US" w:eastAsia="zh-CN"/>
        </w:rPr>
        <w:t>民生银行内蒙古分行的客户</w:t>
      </w:r>
      <w:r>
        <w:rPr>
          <w:rFonts w:hint="eastAsia"/>
        </w:rPr>
        <w:t>编制符合转型金融要求的转型规划</w:t>
      </w:r>
    </w:p>
    <w:p w14:paraId="3F45DC63">
      <w:pPr>
        <w:rPr>
          <w:rFonts w:hint="default" w:eastAsiaTheme="minorEastAsia"/>
          <w:lang w:val="en-US" w:eastAsia="zh-CN"/>
        </w:rPr>
      </w:pPr>
      <w:r>
        <w:rPr>
          <w:rFonts w:hint="eastAsia"/>
          <w:lang w:val="en-US" w:eastAsia="zh-CN"/>
        </w:rPr>
        <w:t>可为贷款产品的设计提出建议</w:t>
      </w:r>
      <w:bookmarkStart w:id="0" w:name="_GoBack"/>
      <w:bookmarkEnd w:id="0"/>
    </w:p>
    <w:p w14:paraId="7635DCBB">
      <w:pPr>
        <w:rPr>
          <w:rFonts w:hint="default"/>
          <w:lang w:val="en-US" w:eastAsia="zh-CN"/>
        </w:rPr>
      </w:pPr>
    </w:p>
    <w:p w14:paraId="33582BF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仿宋-GB2312">
    <w:altName w:val="方正仿宋_GBK"/>
    <w:panose1 w:val="00000000000000000000"/>
    <w:charset w:val="86"/>
    <w:family w:val="roman"/>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DC0918"/>
    <w:rsid w:val="7FDC0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Office_6.13.1.8913_F1E327BC-269C-435d-A152-05C5408002CA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2026-05-24T10:54:00Z</dcterms:created>
  <dc:creator>Vic</dc:creator>
  <cp:lastModifiedBy>Vic</cp:lastModifiedBy>
  <dcterms:modified xsi:type="dcterms:W3CDTF">2026-05-24T11:00:00Z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ICV">
    <vt:lpwstr>7DFEDFF402CA42B35A68126AB0FF81A4_41</vt:lpwstr>
  </property>
</Properties>
</file>