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民生银行内蒙古分行转型金融服务方案</w:t>
      </w:r>
    </w:p>
    <w:p/>
    <w:p>
      <w:r>
        <w:rPr>
          <w:rFonts w:ascii="宋体" w:hAnsi="宋体" w:eastAsia="宋体"/>
          <w:b/>
          <w:sz w:val="28"/>
        </w:rPr>
        <w:t>一、项目背景</w:t>
      </w:r>
    </w:p>
    <w:p/>
    <w:p>
      <w:pPr>
        <w:spacing w:line="360" w:lineRule="auto"/>
        <w:ind w:firstLine="420"/>
      </w:pPr>
      <w:r>
        <w:rPr>
          <w:rFonts w:ascii="宋体" w:hAnsi="宋体" w:eastAsia="宋体"/>
          <w:b w:val="0"/>
          <w:sz w:val="24"/>
        </w:rPr>
        <w:t>转型金融政策体系正在加快完善，为商业银行支持高碳行业绿色低碳转型提供了更清晰的政策依据。在中国人民银行等金融管理部门的推动和引导下，我国转型金融在政策完善、标准建设、信息披露与市场参与等层面均取得显著进展，越来越多的地区和金融机构开始探索转型金融发展，以支持实体经济绿色转型。</w:t>
      </w:r>
    </w:p>
    <w:p/>
    <w:p>
      <w:pPr>
        <w:spacing w:line="360" w:lineRule="auto"/>
        <w:ind w:firstLine="420"/>
      </w:pPr>
      <w:r>
        <w:rPr>
          <w:rFonts w:ascii="宋体" w:hAnsi="宋体" w:eastAsia="宋体"/>
          <w:b w:val="0"/>
          <w:sz w:val="24"/>
        </w:rPr>
        <w:t>顶层政策持续强化金融支持绿色低碳转型的重要性。2024年3月，中国人民银行等七部门发布《关于进一步强化金融支持绿色低碳发展的指导意见》，明确要引导金融资源支持高排放行业绿色低碳转型和可再生能源项目建设，加大金融对绿色低碳发展的支持力度。2025年1月，国家金融监督管理总局办公厅和中国人民银行办公厅印发《银行业保险业绿色金融高质量发展实施方案》，再次强调金融机构要有力推动经济社会发展全面绿色转型。2025年3月，国务院办公厅《关于做好金融“五篇大文章”的指导意见》进一步提出，要引导金融机构将绿色低碳转型因素纳入资产组合管理考量，丰富绿色金融和转型金融产品服务。</w:t>
      </w:r>
    </w:p>
    <w:p/>
    <w:p>
      <w:pPr>
        <w:spacing w:line="360" w:lineRule="auto"/>
        <w:ind w:firstLine="420"/>
      </w:pPr>
      <w:r>
        <w:rPr>
          <w:rFonts w:ascii="宋体" w:hAnsi="宋体" w:eastAsia="宋体"/>
          <w:b w:val="0"/>
          <w:sz w:val="24"/>
        </w:rPr>
        <w:t>人民银行高度重视转型金融发展，并持续推进标准体系和激励机制建设。中国人民银行牵头起草的多个行业转型金融标准已经过多轮论证，并在部分省市开展试用；同时，绿色金融评价机制也在不断完善，在最新版评价方案中已增加转型金融与转型规划相关考核指标。这意味着商业银行在推动相关业务时，不仅需要理解转型金融政策导向，也需要更加重视企业转型规划、融资用途和转型成效之间的衔接关系。</w:t>
      </w:r>
    </w:p>
    <w:p/>
    <w:p>
      <w:pPr>
        <w:spacing w:line="360" w:lineRule="auto"/>
        <w:ind w:firstLine="420"/>
      </w:pPr>
      <w:r>
        <w:rPr>
          <w:rFonts w:ascii="宋体" w:hAnsi="宋体" w:eastAsia="宋体"/>
          <w:b w:val="0"/>
          <w:sz w:val="24"/>
        </w:rPr>
        <w:t>信息披露规则的持续强化，也对企业转型规划的规范性提出了更高要求。2025年4月，财政部与生态环境部联合发布《企业可持续披露准则第1号——气候（试行）》征求意见稿，明确提出企业应披露气候转型计划，包括关键假设、依据以及实现目标的具体安排。与此同时，金融机构可持续信息披露相关要求也在不断完善，进一步强调金融机构对绿色投融资、转型安排及其实施情况的披露责任。对银行而言，这意味着未来支持企业开展转型金融业务，不能只看企业是否属于高碳行业，还需要关注企业是否具备较为清晰、合理、可验证的转型安排。</w:t>
      </w:r>
    </w:p>
    <w:p/>
    <w:p>
      <w:pPr>
        <w:spacing w:line="360" w:lineRule="auto"/>
        <w:ind w:firstLine="420"/>
      </w:pPr>
      <w:r>
        <w:rPr>
          <w:rFonts w:ascii="宋体" w:hAnsi="宋体" w:eastAsia="宋体"/>
          <w:b w:val="0"/>
          <w:sz w:val="24"/>
        </w:rPr>
        <w:t>在此背景下，内蒙古开展钢铁行业转型金融标准试用，为区域银行开展转型金融业务提供了重要契机。对于民生银行内蒙古分行而言，把握钢铁行业转型金融标准试用窗口期，围绕重点客户开展转型识别、规划编制和案例推进，不仅有助于提升分行对转型金融政策和标准的理解深度，也有助于增强对钢铁行业客户绿色低碳转型需求的服务能力，为后续业务拓展和案例积累奠定基础。</w:t>
      </w:r>
    </w:p>
    <w:p/>
    <w:p>
      <w:r>
        <w:rPr>
          <w:rFonts w:ascii="宋体" w:hAnsi="宋体" w:eastAsia="宋体"/>
          <w:b/>
          <w:sz w:val="28"/>
        </w:rPr>
        <w:t>二、研究目标</w:t>
      </w:r>
    </w:p>
    <w:p/>
    <w:p>
      <w:pPr>
        <w:spacing w:line="360" w:lineRule="auto"/>
        <w:ind w:firstLine="420"/>
      </w:pPr>
      <w:r>
        <w:rPr>
          <w:rFonts w:ascii="宋体" w:hAnsi="宋体" w:eastAsia="宋体"/>
          <w:b w:val="0"/>
          <w:sz w:val="24"/>
        </w:rPr>
        <w:t>本项目以民生银行内蒙古分行推动钢铁行业转型金融案例落地为目标，结合内蒙古钢铁行业转型金融标准试用场景，围绕政策研究、企业判断、规划编制和案例建议四个层面形成系统性服务成果。具体而言，一是对内蒙古钢铁行业转型金融政策背景和标准适用要求进行梳理，为分行把握业务方向和支持重点提供参考；二是结合分行关注的目标企业情况，对企业是否具备转型金融支持基础进行专业判断；三是围绕拟推动的目标企业，协助编制企业转型规划文本或规划大纲，提升后续融资支持的规范性和针对性；四是在此基础上，就贷款产品设计或案例推进方式提出专业建议，为分行开展相关业务提供支撑。</w:t>
      </w:r>
    </w:p>
    <w:p/>
    <w:p>
      <w:r>
        <w:rPr>
          <w:rFonts w:ascii="宋体" w:hAnsi="宋体" w:eastAsia="宋体"/>
          <w:b/>
          <w:sz w:val="28"/>
        </w:rPr>
        <w:t>三、研究内容</w:t>
      </w:r>
    </w:p>
    <w:p/>
    <w:p>
      <w:r>
        <w:rPr>
          <w:rFonts w:ascii="宋体" w:hAnsi="宋体" w:eastAsia="宋体"/>
          <w:b/>
          <w:sz w:val="24"/>
        </w:rPr>
        <w:t>（一）内蒙古钢铁行业转型金融政策与标准适配研究</w:t>
      </w:r>
    </w:p>
    <w:p>
      <w:pPr>
        <w:spacing w:line="360" w:lineRule="auto"/>
        <w:ind w:firstLine="420"/>
      </w:pPr>
      <w:r>
        <w:rPr>
          <w:rFonts w:ascii="宋体" w:hAnsi="宋体" w:eastAsia="宋体"/>
          <w:b w:val="0"/>
          <w:sz w:val="24"/>
        </w:rPr>
        <w:t>结合国家层面关于转型金融、绿色金融和可持续信息披露的相关政策要求，梳理钢铁行业开展转型金融业务的政策背景。同时，围绕内蒙古钢铁行业转型金融标准试用情况，对相关标准的适用方向、企业转型规划要求以及银行开展业务时需要重点关注的问题进行归纳，为分行理解业务边界、把握案例推进重点提供基础支撑。</w:t>
      </w:r>
    </w:p>
    <w:p/>
    <w:p>
      <w:r>
        <w:rPr>
          <w:rFonts w:ascii="宋体" w:hAnsi="宋体" w:eastAsia="宋体"/>
          <w:b/>
          <w:sz w:val="24"/>
        </w:rPr>
        <w:t>（二）目标企业转型适配性判断</w:t>
      </w:r>
    </w:p>
    <w:p>
      <w:pPr>
        <w:spacing w:line="360" w:lineRule="auto"/>
        <w:ind w:firstLine="420"/>
      </w:pPr>
      <w:r>
        <w:rPr>
          <w:rFonts w:ascii="宋体" w:hAnsi="宋体" w:eastAsia="宋体"/>
          <w:b w:val="0"/>
          <w:sz w:val="24"/>
        </w:rPr>
        <w:t>根据分行提供的目标企业信息，对企业所属行业、主营业务、拟实施项目或技术改造方向进行分析，并结合转型金融标准试用要求，对其是否具备转型金融支持基础提供专业判断意见。通过对重点关注企业开展针对性分析，帮助分行提高对目标企业转型属性和业务可行性的识别效率。</w:t>
      </w:r>
    </w:p>
    <w:p/>
    <w:p>
      <w:r>
        <w:rPr>
          <w:rFonts w:ascii="宋体" w:hAnsi="宋体" w:eastAsia="宋体"/>
          <w:b/>
          <w:sz w:val="24"/>
        </w:rPr>
        <w:t>（三）企业转型规划编制支持</w:t>
      </w:r>
    </w:p>
    <w:p>
      <w:pPr>
        <w:spacing w:line="360" w:lineRule="auto"/>
        <w:ind w:firstLine="420"/>
      </w:pPr>
      <w:r>
        <w:rPr>
          <w:rFonts w:ascii="宋体" w:hAnsi="宋体" w:eastAsia="宋体"/>
          <w:b w:val="0"/>
          <w:sz w:val="24"/>
        </w:rPr>
        <w:t>在目标企业具备一定资料基础的前提下，协助梳理企业生产经营、工艺流程、能耗与碳排放基础、拟实施转型项目、资金需求等信息，并据此编制企业转型规划大纲或转型规划文本。规划内容重点围绕企业转型目标、未来3—5年转型项目安排、投资与融资需求、保障措施、信息披露与承诺等方面展开，以满足转型金融业务对企业转型安排清晰性、规范性和可验证性的基本要求。</w:t>
      </w:r>
    </w:p>
    <w:p/>
    <w:p>
      <w:r>
        <w:rPr>
          <w:rFonts w:ascii="宋体" w:hAnsi="宋体" w:eastAsia="宋体"/>
          <w:b/>
          <w:sz w:val="24"/>
        </w:rPr>
        <w:t>（四）案例推进建议</w:t>
      </w:r>
    </w:p>
    <w:p>
      <w:pPr>
        <w:spacing w:line="360" w:lineRule="auto"/>
        <w:ind w:firstLine="420"/>
      </w:pPr>
      <w:r>
        <w:rPr>
          <w:rFonts w:ascii="宋体" w:hAnsi="宋体" w:eastAsia="宋体"/>
          <w:b w:val="0"/>
          <w:sz w:val="24"/>
        </w:rPr>
        <w:t>在完成企业适配性判断和转型规划编制的基础上，结合企业实际融资需求，对案例推进方式提出建议，例如对贷款用途安排、阶段性目标设置、产品设计方向等提出参考意见，为分行业务推进提供专业支持。</w:t>
      </w:r>
    </w:p>
    <w:p/>
    <w:p>
      <w:r>
        <w:rPr>
          <w:rFonts w:ascii="宋体" w:hAnsi="宋体" w:eastAsia="宋体"/>
          <w:b/>
          <w:sz w:val="28"/>
        </w:rPr>
        <w:t>四、研究计划及报价</w:t>
      </w:r>
    </w:p>
    <w:p/>
    <w:p>
      <w:r>
        <w:rPr>
          <w:rFonts w:ascii="宋体" w:hAnsi="宋体" w:eastAsia="宋体"/>
          <w:b/>
          <w:sz w:val="24"/>
        </w:rPr>
        <w:t>（一）项目成果</w:t>
      </w:r>
    </w:p>
    <w:p>
      <w:pPr>
        <w:spacing w:line="360" w:lineRule="auto"/>
        <w:ind w:firstLine="420"/>
      </w:pPr>
      <w:r>
        <w:rPr>
          <w:rFonts w:ascii="宋体" w:hAnsi="宋体" w:eastAsia="宋体"/>
          <w:b w:val="0"/>
          <w:sz w:val="24"/>
        </w:rPr>
        <w:t>本项目拟形成以下成果：</w:t>
      </w:r>
    </w:p>
    <w:p/>
    <w:p>
      <w:pPr>
        <w:pStyle w:val="ListNumber"/>
      </w:pPr>
      <w:r>
        <w:rPr>
          <w:rFonts w:ascii="宋体" w:hAnsi="宋体" w:eastAsia="宋体"/>
          <w:b w:val="0"/>
          <w:sz w:val="24"/>
        </w:rPr>
        <w:t>《民生银行内蒙古分行转型金融服务方案》1份；</w:t>
      </w:r>
    </w:p>
    <w:p>
      <w:pPr>
        <w:pStyle w:val="ListNumber"/>
      </w:pPr>
      <w:r>
        <w:rPr>
          <w:rFonts w:ascii="宋体" w:hAnsi="宋体" w:eastAsia="宋体"/>
          <w:b w:val="0"/>
          <w:sz w:val="24"/>
        </w:rPr>
        <w:t>内蒙古钢铁行业转型金融政策与标准适配研究内容1份；</w:t>
      </w:r>
    </w:p>
    <w:p>
      <w:pPr>
        <w:pStyle w:val="ListNumber"/>
      </w:pPr>
      <w:r>
        <w:rPr>
          <w:rFonts w:ascii="宋体" w:hAnsi="宋体" w:eastAsia="宋体"/>
          <w:b w:val="0"/>
          <w:sz w:val="24"/>
        </w:rPr>
        <w:t>目标企业转型适配性判断意见1份；</w:t>
      </w:r>
    </w:p>
    <w:p>
      <w:pPr>
        <w:pStyle w:val="ListNumber"/>
      </w:pPr>
      <w:r>
        <w:rPr>
          <w:rFonts w:ascii="宋体" w:hAnsi="宋体" w:eastAsia="宋体"/>
          <w:b w:val="0"/>
          <w:sz w:val="24"/>
        </w:rPr>
        <w:t>《企业转型规划编制大纲及资料清单》1份；</w:t>
      </w:r>
    </w:p>
    <w:p>
      <w:pPr>
        <w:pStyle w:val="ListNumber"/>
      </w:pPr>
      <w:r>
        <w:rPr>
          <w:rFonts w:ascii="宋体" w:hAnsi="宋体" w:eastAsia="宋体"/>
          <w:b w:val="0"/>
          <w:sz w:val="24"/>
        </w:rPr>
        <w:t>单个目标企业转型规划文本或规划初稿1份；</w:t>
      </w:r>
    </w:p>
    <w:p>
      <w:pPr>
        <w:pStyle w:val="ListNumber"/>
      </w:pPr>
      <w:r>
        <w:rPr>
          <w:rFonts w:ascii="宋体" w:hAnsi="宋体" w:eastAsia="宋体"/>
          <w:b w:val="0"/>
          <w:sz w:val="24"/>
        </w:rPr>
        <w:t>单个案例推进建议1份。</w:t>
      </w:r>
    </w:p>
    <w:p/>
    <w:p>
      <w:r>
        <w:rPr>
          <w:rFonts w:ascii="宋体" w:hAnsi="宋体" w:eastAsia="宋体"/>
          <w:b/>
          <w:sz w:val="24"/>
        </w:rPr>
        <w:t>（二）项目进度安排</w:t>
      </w:r>
    </w:p>
    <w:p>
      <w:pPr>
        <w:spacing w:line="360" w:lineRule="auto"/>
        <w:ind w:firstLine="420"/>
      </w:pPr>
      <w:r>
        <w:rPr>
          <w:rFonts w:ascii="宋体" w:hAnsi="宋体" w:eastAsia="宋体"/>
          <w:b w:val="0"/>
          <w:sz w:val="24"/>
        </w:rPr>
        <w:t>项目整体服务周期预计为3—4周，具体安排如下：</w:t>
      </w:r>
    </w:p>
    <w:p/>
    <w:p>
      <w:pPr>
        <w:spacing w:line="360" w:lineRule="auto"/>
        <w:ind w:firstLine="420"/>
      </w:pPr>
      <w:r>
        <w:rPr>
          <w:rFonts w:ascii="宋体" w:hAnsi="宋体" w:eastAsia="宋体"/>
          <w:b w:val="0"/>
          <w:sz w:val="24"/>
        </w:rPr>
        <w:t>第一阶段（第1周）：开展项目沟通，明确分行拟关注的钢铁企业情况，梳理内蒙古钢铁行业转型金融政策与标准适用要求。</w:t>
      </w:r>
    </w:p>
    <w:p/>
    <w:p>
      <w:pPr>
        <w:spacing w:line="360" w:lineRule="auto"/>
        <w:ind w:firstLine="420"/>
      </w:pPr>
      <w:r>
        <w:rPr>
          <w:rFonts w:ascii="宋体" w:hAnsi="宋体" w:eastAsia="宋体"/>
          <w:b w:val="0"/>
          <w:sz w:val="24"/>
        </w:rPr>
        <w:t>第二阶段（第1—2周）：根据分行提供的企业信息，对目标企业转型适配性进行分析判断，并同步形成企业资料清单。</w:t>
      </w:r>
    </w:p>
    <w:p/>
    <w:p>
      <w:pPr>
        <w:spacing w:line="360" w:lineRule="auto"/>
        <w:ind w:firstLine="420"/>
      </w:pPr>
      <w:r>
        <w:rPr>
          <w:rFonts w:ascii="宋体" w:hAnsi="宋体" w:eastAsia="宋体"/>
          <w:b w:val="0"/>
          <w:sz w:val="24"/>
        </w:rPr>
        <w:t>第三阶段（第2—3周）：在企业资料基本齐备的基础上，开展企业转型规划编制工作，形成初稿。</w:t>
      </w:r>
    </w:p>
    <w:p/>
    <w:p>
      <w:pPr>
        <w:spacing w:line="360" w:lineRule="auto"/>
        <w:ind w:firstLine="420"/>
      </w:pPr>
      <w:r>
        <w:rPr>
          <w:rFonts w:ascii="宋体" w:hAnsi="宋体" w:eastAsia="宋体"/>
          <w:b w:val="0"/>
          <w:sz w:val="24"/>
        </w:rPr>
        <w:t>第四阶段（第3—4周）：根据反馈对企业转型规划进行修改完善，并形成案例推进建议。</w:t>
      </w:r>
    </w:p>
    <w:p/>
    <w:p>
      <w:r>
        <w:rPr>
          <w:rFonts w:ascii="宋体" w:hAnsi="宋体" w:eastAsia="宋体"/>
          <w:b/>
          <w:sz w:val="24"/>
        </w:rPr>
        <w:t>（三）项目报价</w:t>
      </w:r>
    </w:p>
    <w:p>
      <w:pPr>
        <w:spacing w:line="360" w:lineRule="auto"/>
        <w:ind w:firstLine="420"/>
      </w:pPr>
      <w:r>
        <w:rPr>
          <w:rFonts w:ascii="宋体" w:hAnsi="宋体" w:eastAsia="宋体"/>
          <w:b w:val="0"/>
          <w:sz w:val="24"/>
        </w:rPr>
        <w:t>本项目总报价为人民币1万元。</w:t>
      </w:r>
    </w:p>
    <w:p/>
    <w:p>
      <w:pPr>
        <w:spacing w:line="360" w:lineRule="auto"/>
        <w:ind w:firstLine="420"/>
      </w:pPr>
      <w:r>
        <w:rPr>
          <w:rFonts w:ascii="宋体" w:hAnsi="宋体" w:eastAsia="宋体"/>
          <w:b w:val="0"/>
          <w:sz w:val="24"/>
        </w:rPr>
        <w:t>本报价主要覆盖政策与标准研究、目标企业转型适配性判断、企业转型规划编制支持以及案例建议等工作内容。如后续需进一步拓展服务范围，可由双方另行协商。</w:t>
      </w:r>
    </w:p>
    <w:p/>
    <w:p>
      <w:r>
        <w:rPr>
          <w:rFonts w:ascii="宋体" w:hAnsi="宋体" w:eastAsia="宋体"/>
          <w:b/>
          <w:sz w:val="28"/>
        </w:rPr>
        <w:t>五、甲方配合事项</w:t>
      </w:r>
    </w:p>
    <w:p/>
    <w:p>
      <w:pPr>
        <w:spacing w:line="360" w:lineRule="auto"/>
        <w:ind w:firstLine="420"/>
      </w:pPr>
      <w:r>
        <w:rPr>
          <w:rFonts w:ascii="宋体" w:hAnsi="宋体" w:eastAsia="宋体"/>
          <w:b w:val="0"/>
          <w:sz w:val="24"/>
        </w:rPr>
        <w:t>为保证项目按期推进，建议民生银行内蒙古分行协助做好以下配合工作：一是明确拟重点关注的钢铁企业名单或企业范围；二是协调企业提供基本经营、生产工艺、能耗、碳排放、项目投资及融资需求等资料；三是协助安排与企业相关负责人员的沟通；四是对规划初稿和案例建议及时反馈意见，以便在项目周期内完成修改完善。</w:t>
      </w:r>
    </w:p>
    <w:p/>
    <w:p>
      <w:r>
        <w:rPr>
          <w:rFonts w:ascii="宋体" w:hAnsi="宋体" w:eastAsia="宋体"/>
          <w:b/>
          <w:sz w:val="28"/>
        </w:rPr>
        <w:t>六、预期价值</w:t>
      </w:r>
    </w:p>
    <w:p/>
    <w:p>
      <w:pPr>
        <w:spacing w:line="360" w:lineRule="auto"/>
        <w:ind w:firstLine="420"/>
      </w:pPr>
      <w:r>
        <w:rPr>
          <w:rFonts w:ascii="宋体" w:hAnsi="宋体" w:eastAsia="宋体"/>
          <w:b w:val="0"/>
          <w:sz w:val="24"/>
        </w:rPr>
        <w:t>通过本项目，民生银行内蒙古分行可围绕钢铁行业转型金融标准试用场景，形成较为完整的政策研究、企业判断、规划编制和案例建议成果。这些成果既有助于分行理解当前钢铁行业转型金融业务的政策和标准要求，也有助于分行判断重点企业是否具备转型金融支持基础，并为后续企业转型规划编制和案例推进提供专业参考。</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