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2DE4F">
      <w:pPr>
        <w:jc w:val="center"/>
        <w:rPr>
          <w:rFonts w:hint="eastAsia" w:ascii="宋体" w:hAnsi="宋体" w:eastAsia="宋体" w:cs="宋体"/>
          <w:b/>
          <w:bCs/>
          <w:color w:val="000000" w:themeColor="text1"/>
          <w:sz w:val="24"/>
          <w:szCs w:val="24"/>
          <w:lang w:val="en-US" w:eastAsia="zh-CN"/>
          <w14:textFill>
            <w14:solidFill>
              <w14:schemeClr w14:val="tx1"/>
            </w14:solidFill>
          </w14:textFill>
        </w:rPr>
      </w:pPr>
      <w:bookmarkStart w:id="1" w:name="_GoBack"/>
      <w:bookmarkEnd w:id="1"/>
      <w:r>
        <w:rPr>
          <w:rFonts w:hint="eastAsia" w:ascii="宋体" w:hAnsi="宋体" w:eastAsia="宋体" w:cs="宋体"/>
          <w:b/>
          <w:bCs/>
          <w:color w:val="000000" w:themeColor="text1"/>
          <w:sz w:val="24"/>
          <w:szCs w:val="24"/>
          <w14:textFill>
            <w14:solidFill>
              <w14:schemeClr w14:val="tx1"/>
            </w14:solidFill>
          </w14:textFill>
        </w:rPr>
        <w:t>工商银行苏州分行转型规划</w:t>
      </w:r>
      <w:r>
        <w:rPr>
          <w:rFonts w:hint="eastAsia" w:ascii="宋体" w:hAnsi="宋体" w:eastAsia="宋体" w:cs="宋体"/>
          <w:b/>
          <w:bCs/>
          <w:color w:val="000000" w:themeColor="text1"/>
          <w:sz w:val="24"/>
          <w:szCs w:val="24"/>
          <w:lang w:val="en-US" w:eastAsia="zh-CN"/>
          <w14:textFill>
            <w14:solidFill>
              <w14:schemeClr w14:val="tx1"/>
            </w14:solidFill>
          </w14:textFill>
        </w:rPr>
        <w:t>项目方案</w:t>
      </w:r>
    </w:p>
    <w:p w14:paraId="56E7A2BB">
      <w:pPr>
        <w:pStyle w:val="2"/>
        <w:numPr>
          <w:ilvl w:val="0"/>
          <w:numId w:val="1"/>
        </w:numPr>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项目背景</w:t>
      </w:r>
    </w:p>
    <w:p w14:paraId="6A90C470">
      <w:pPr>
        <w:pStyle w:val="13"/>
        <w:keepNext w:val="0"/>
        <w:keepLines w:val="0"/>
        <w:pageBreakBefore w:val="0"/>
        <w:kinsoku/>
        <w:wordWrap/>
        <w:overflowPunct/>
        <w:topLinePunct w:val="0"/>
        <w:autoSpaceDE/>
        <w:autoSpaceDN/>
        <w:bidi w:val="0"/>
        <w:adjustRightInd/>
        <w:snapToGrid/>
        <w:spacing w:before="0" w:after="120" w:line="360" w:lineRule="auto"/>
        <w:ind w:left="0" w:leftChars="0" w:firstLine="480" w:firstLineChars="2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全球气候变化对经济社会的影响日益显著，推动绿色低碳发展已成为世界各国的共同方向。2020年，中国明确提出“碳达峰、碳中和”目标，即力争在2030年前实现碳排放达到峰值，2060年前实现碳中和。这一目标要求在大力发展绿色产业的同时，稳步推动高碳行业和相关经济活动的低碳转型。在此背景下，转型金融逐渐兴起，通过为高碳行业的绿色转型提供资金支持，成为实现经济低碳化和“双碳”目标的重要手段。作为资金配置的关键环节，银行在助力经济迈向低碳可持续发展的过程中具有核心作用。近年来，随着转型金融理念的深化，银行低碳转型的概念频现于政策文件、行业分析和国际倡议之中，而转型规划则被视为实现科学、可信转型的重要战略路径。</w:t>
      </w:r>
    </w:p>
    <w:p w14:paraId="2F5F11D4">
      <w:pPr>
        <w:pStyle w:val="13"/>
        <w:keepNext w:val="0"/>
        <w:keepLines w:val="0"/>
        <w:pageBreakBefore w:val="0"/>
        <w:kinsoku/>
        <w:wordWrap/>
        <w:overflowPunct/>
        <w:topLinePunct w:val="0"/>
        <w:autoSpaceDE/>
        <w:autoSpaceDN/>
        <w:bidi w:val="0"/>
        <w:adjustRightInd/>
        <w:snapToGrid/>
        <w:spacing w:before="0" w:after="120" w:line="360" w:lineRule="auto"/>
        <w:ind w:left="0" w:leftChars="0" w:firstLine="480" w:firstLineChars="2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国际社会高度关注银行的低碳转型，多个倡议和框架为银行转型规划提供了指导。例如，格拉斯哥净零金融联盟（GFANZ）推出的“金融机构净零转型计划框架”（NZTP）、气候变化机构投资者小组（IIGCC）的“净零投资框架”（NZIF），以及2023年TPI全球气候转型中心与IIGCC联合发布的“净零银行评估框架”（NZSB），均强调银行需设定科学、可信的减排目标，并通过清晰的规划和实施路径推动投融资活动与净零目标对齐。这些框架不仅为银行提供了从战略制定到执行的全面指导，还通过引入可量化的评估指标和披露要求，帮助银行在全球低碳转型浪潮中明确自身定位，提升气候风险管理能力。</w:t>
      </w:r>
    </w:p>
    <w:p w14:paraId="69B14153">
      <w:pPr>
        <w:keepNext w:val="0"/>
        <w:keepLines w:val="0"/>
        <w:pageBreakBefore w:val="0"/>
        <w:kinsoku/>
        <w:wordWrap/>
        <w:overflowPunct/>
        <w:topLinePunct w:val="0"/>
        <w:autoSpaceDE/>
        <w:autoSpaceDN/>
        <w:bidi w:val="0"/>
        <w:adjustRightInd/>
        <w:snapToGrid/>
        <w:spacing w:beforeAutospacing="0" w:after="120" w:afterAutospacing="0" w:line="360" w:lineRule="auto"/>
        <w:ind w:left="0" w:leftChars="0" w:firstLine="480" w:firstLineChars="200"/>
        <w:textAlignment w:val="auto"/>
        <w:rPr>
          <w:rFonts w:hint="eastAsia" w:ascii="宋体" w:hAnsi="宋体" w:eastAsia="宋体" w:cs="宋体"/>
          <w:b w:val="0"/>
          <w:bCs w:val="0"/>
          <w:color w:val="000000" w:themeColor="text1"/>
          <w:sz w:val="24"/>
          <w:szCs w:val="24"/>
          <w:lang w:val="en-US"/>
          <w14:textFill>
            <w14:solidFill>
              <w14:schemeClr w14:val="tx1"/>
            </w14:solidFill>
          </w14:textFill>
        </w:rPr>
      </w:pPr>
      <w:r>
        <w:rPr>
          <w:rFonts w:hint="eastAsia" w:ascii="宋体" w:hAnsi="宋体" w:eastAsia="宋体" w:cs="宋体"/>
          <w:b w:val="0"/>
          <w:bCs w:val="0"/>
          <w:color w:val="000000" w:themeColor="text1"/>
          <w:sz w:val="24"/>
          <w:szCs w:val="24"/>
          <w:lang w:val="en-US"/>
          <w14:textFill>
            <w14:solidFill>
              <w14:schemeClr w14:val="tx1"/>
            </w14:solidFill>
          </w14:textFill>
        </w:rPr>
        <w:t>国内政策密集出台，构建支持金融机构转型的制度框架。2024年10月，中国人民银行等部门联合印发《关于发挥绿色金融作用服务美丽中国建设的意见》，在强化实施保障部分明确提出“鼓励企业制定转型规划，对明确承诺绿色低碳转型且转型效果较好的企业，研究给予激励表扬。”2025年1月，国家金融监督管理总局办公厅 中国人民银行办公厅关于印发《银行业保险业绿色金融高质量发展实施方案》的通知，提出“科学确定运营碳减排目标和实现路径，降低日常运营碳排放强度。鼓励有条件的银行保险机构探索推动碳中和网点建设。”2025年3月，国务院办公厅《关于做好金融“五篇大文章”的指导意见》，指出“引导金融机构将绿色低碳转型因素纳入资产组合管理考量，丰富绿色金融和转型金融产品服务。”</w:t>
      </w:r>
    </w:p>
    <w:p w14:paraId="1BFDB2D1">
      <w:pPr>
        <w:keepNext w:val="0"/>
        <w:keepLines w:val="0"/>
        <w:pageBreakBefore w:val="0"/>
        <w:kinsoku/>
        <w:wordWrap/>
        <w:overflowPunct/>
        <w:topLinePunct w:val="0"/>
        <w:autoSpaceDE/>
        <w:autoSpaceDN/>
        <w:bidi w:val="0"/>
        <w:adjustRightInd/>
        <w:snapToGrid/>
        <w:spacing w:beforeAutospacing="0" w:after="120" w:afterAutospacing="0" w:line="360" w:lineRule="auto"/>
        <w:ind w:left="0" w:leftChars="0" w:firstLine="480" w:firstLineChars="200"/>
        <w:textAlignment w:val="auto"/>
        <w:rPr>
          <w:rFonts w:hint="eastAsia" w:ascii="宋体" w:hAnsi="宋体" w:eastAsia="宋体" w:cs="宋体"/>
          <w:b w:val="0"/>
          <w:bCs w:val="0"/>
          <w:color w:val="000000" w:themeColor="text1"/>
          <w:sz w:val="24"/>
          <w:szCs w:val="24"/>
          <w:lang w:val="en-US"/>
          <w14:textFill>
            <w14:solidFill>
              <w14:schemeClr w14:val="tx1"/>
            </w14:solidFill>
          </w14:textFill>
        </w:rPr>
      </w:pPr>
      <w:r>
        <w:rPr>
          <w:rFonts w:hint="eastAsia" w:ascii="宋体" w:hAnsi="宋体" w:eastAsia="宋体" w:cs="宋体"/>
          <w:b w:val="0"/>
          <w:bCs w:val="0"/>
          <w:color w:val="000000" w:themeColor="text1"/>
          <w:sz w:val="24"/>
          <w:szCs w:val="24"/>
          <w:lang w:val="en-US"/>
          <w14:textFill>
            <w14:solidFill>
              <w14:schemeClr w14:val="tx1"/>
            </w14:solidFill>
          </w14:textFill>
        </w:rPr>
        <w:t>人民银行推动绿色金融与转型金融有效衔接</w:t>
      </w:r>
      <w:r>
        <w:rPr>
          <w:rFonts w:hint="eastAsia" w:ascii="宋体" w:hAnsi="宋体" w:eastAsia="宋体" w:cs="宋体"/>
          <w:b w:val="0"/>
          <w:bCs w:val="0"/>
          <w:color w:val="000000" w:themeColor="text1"/>
          <w:sz w:val="24"/>
          <w:szCs w:val="24"/>
          <w:lang w:val="en-US" w:eastAsia="zh-CN"/>
          <w14:textFill>
            <w14:solidFill>
              <w14:schemeClr w14:val="tx1"/>
            </w14:solidFill>
          </w14:textFill>
        </w:rPr>
        <w:t>。</w:t>
      </w:r>
      <w:r>
        <w:rPr>
          <w:rFonts w:hint="eastAsia" w:ascii="宋体" w:hAnsi="宋体" w:eastAsia="宋体" w:cs="宋体"/>
          <w:b w:val="0"/>
          <w:bCs w:val="0"/>
          <w:color w:val="000000" w:themeColor="text1"/>
          <w:sz w:val="24"/>
          <w:szCs w:val="24"/>
          <w:lang w:val="en-US"/>
          <w14:textFill>
            <w14:solidFill>
              <w14:schemeClr w14:val="tx1"/>
            </w14:solidFill>
          </w14:textFill>
        </w:rPr>
        <w:t>人民银行认真落实中央金融工作会议精神，不断强化金融支持绿色低碳发展的顶层设计，坚持市场化原则推动绿色金融与转型金融发展和有效衔接。一是完善标准体系。中国人民银行牵头起草的煤电、钢铁、建材、农业四个行业的转型金融标准已经多次论证，并在部分省市开展了试用工作。二是完善激励约束机制。人民银行不断提升绿色金融评价的有效性和针对性，研究将绿色金融和转型金融业绩、气候相关金融风险、绿色机制建设、绿色金融和转型金融服务、气候环境效益等指标逐步纳入评价体系。在中国人民银行最新版的绿色金融评价方案中，已增加转型金融与转型规划相关考核指标。</w:t>
      </w:r>
    </w:p>
    <w:p w14:paraId="3839A422">
      <w:pPr>
        <w:pStyle w:val="2"/>
        <w:keepNext w:val="0"/>
        <w:keepLines w:val="0"/>
        <w:pageBreakBefore w:val="0"/>
        <w:numPr>
          <w:ilvl w:val="0"/>
          <w:numId w:val="1"/>
        </w:numPr>
        <w:kinsoku/>
        <w:wordWrap/>
        <w:overflowPunct/>
        <w:topLinePunct w:val="0"/>
        <w:autoSpaceDE/>
        <w:autoSpaceDN/>
        <w:bidi w:val="0"/>
        <w:adjustRightInd/>
        <w:snapToGrid/>
        <w:spacing w:before="0" w:beforeLines="0"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研究目标</w:t>
      </w:r>
    </w:p>
    <w:p w14:paraId="3508DBDE">
      <w:pPr>
        <w:keepNext w:val="0"/>
        <w:keepLines w:val="0"/>
        <w:pageBreakBefore w:val="0"/>
        <w:numPr>
          <w:ilvl w:val="0"/>
          <w:numId w:val="0"/>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lang w:val="en-US" w:eastAsia="zh-Hans"/>
          <w14:textFill>
            <w14:solidFill>
              <w14:schemeClr w14:val="tx1"/>
            </w14:solidFill>
          </w14:textFill>
        </w:rPr>
      </w:pPr>
      <w:r>
        <w:rPr>
          <w:rFonts w:hint="eastAsia" w:ascii="宋体" w:hAnsi="宋体" w:eastAsia="宋体" w:cs="宋体"/>
          <w:color w:val="000000" w:themeColor="text1"/>
          <w:sz w:val="24"/>
          <w:szCs w:val="24"/>
          <w:lang w:val="en-US" w:eastAsia="zh-Hans"/>
          <w14:textFill>
            <w14:solidFill>
              <w14:schemeClr w14:val="tx1"/>
            </w14:solidFill>
          </w14:textFill>
        </w:rPr>
        <w:t>立足《联合国气候变化框架公约》及《巴黎协定》气候目标，结合《G20转型金融框架》的要求及GFANZ等转型规划标准框架，遵照我国碳达峰碳中和目标、路径及相关要求，结合</w:t>
      </w:r>
      <w:r>
        <w:rPr>
          <w:rFonts w:hint="eastAsia" w:ascii="宋体" w:hAnsi="宋体" w:eastAsia="宋体" w:cs="宋体"/>
          <w:color w:val="000000" w:themeColor="text1"/>
          <w:sz w:val="24"/>
          <w:szCs w:val="24"/>
          <w:lang w:val="en-US" w:eastAsia="zh-CN"/>
          <w14:textFill>
            <w14:solidFill>
              <w14:schemeClr w14:val="tx1"/>
            </w14:solidFill>
          </w14:textFill>
        </w:rPr>
        <w:t>苏州</w:t>
      </w:r>
      <w:r>
        <w:rPr>
          <w:rFonts w:hint="eastAsia" w:ascii="宋体" w:hAnsi="宋体" w:eastAsia="宋体" w:cs="宋体"/>
          <w:color w:val="000000" w:themeColor="text1"/>
          <w:sz w:val="24"/>
          <w:szCs w:val="24"/>
          <w:lang w:val="en-US" w:eastAsia="zh-Hans"/>
          <w14:textFill>
            <w14:solidFill>
              <w14:schemeClr w14:val="tx1"/>
            </w14:solidFill>
          </w14:textFill>
        </w:rPr>
        <w:t>低碳发展相关政策及实际发展情况，以及中国</w:t>
      </w:r>
      <w:r>
        <w:rPr>
          <w:rFonts w:hint="eastAsia" w:ascii="宋体" w:hAnsi="宋体" w:eastAsia="宋体" w:cs="宋体"/>
          <w:color w:val="000000" w:themeColor="text1"/>
          <w:sz w:val="24"/>
          <w:szCs w:val="24"/>
          <w:lang w:val="en-US" w:eastAsia="zh-CN"/>
          <w14:textFill>
            <w14:solidFill>
              <w14:schemeClr w14:val="tx1"/>
            </w14:solidFill>
          </w14:textFill>
        </w:rPr>
        <w:t>工商</w:t>
      </w:r>
      <w:r>
        <w:rPr>
          <w:rFonts w:hint="eastAsia" w:ascii="宋体" w:hAnsi="宋体" w:eastAsia="宋体" w:cs="宋体"/>
          <w:color w:val="000000" w:themeColor="text1"/>
          <w:sz w:val="24"/>
          <w:szCs w:val="24"/>
          <w:lang w:val="en-US" w:eastAsia="zh-Hans"/>
          <w14:textFill>
            <w14:solidFill>
              <w14:schemeClr w14:val="tx1"/>
            </w14:solidFill>
          </w14:textFill>
        </w:rPr>
        <w:t>银行</w:t>
      </w:r>
      <w:r>
        <w:rPr>
          <w:rFonts w:hint="eastAsia" w:ascii="宋体" w:hAnsi="宋体" w:eastAsia="宋体" w:cs="宋体"/>
          <w:color w:val="000000" w:themeColor="text1"/>
          <w:sz w:val="24"/>
          <w:szCs w:val="24"/>
          <w:lang w:val="en-US" w:eastAsia="zh-CN"/>
          <w14:textFill>
            <w14:solidFill>
              <w14:schemeClr w14:val="tx1"/>
            </w14:solidFill>
          </w14:textFill>
        </w:rPr>
        <w:t>苏州</w:t>
      </w:r>
      <w:r>
        <w:rPr>
          <w:rFonts w:hint="eastAsia" w:ascii="宋体" w:hAnsi="宋体" w:eastAsia="宋体" w:cs="宋体"/>
          <w:color w:val="000000" w:themeColor="text1"/>
          <w:sz w:val="24"/>
          <w:szCs w:val="24"/>
          <w:lang w:val="en-US" w:eastAsia="zh-Hans"/>
          <w14:textFill>
            <w14:solidFill>
              <w14:schemeClr w14:val="tx1"/>
            </w14:solidFill>
          </w14:textFill>
        </w:rPr>
        <w:t>分行（以下简称“</w:t>
      </w:r>
      <w:r>
        <w:rPr>
          <w:rFonts w:hint="eastAsia" w:ascii="宋体" w:hAnsi="宋体" w:eastAsia="宋体" w:cs="宋体"/>
          <w:color w:val="000000" w:themeColor="text1"/>
          <w:sz w:val="24"/>
          <w:szCs w:val="24"/>
          <w:lang w:val="en-US" w:eastAsia="zh-CN"/>
          <w14:textFill>
            <w14:solidFill>
              <w14:schemeClr w14:val="tx1"/>
            </w14:solidFill>
          </w14:textFill>
        </w:rPr>
        <w:t>工</w:t>
      </w:r>
      <w:r>
        <w:rPr>
          <w:rFonts w:hint="eastAsia" w:ascii="宋体" w:hAnsi="宋体" w:eastAsia="宋体" w:cs="宋体"/>
          <w:color w:val="000000" w:themeColor="text1"/>
          <w:sz w:val="24"/>
          <w:szCs w:val="24"/>
          <w:lang w:val="en-US" w:eastAsia="zh-Hans"/>
          <w14:textFill>
            <w14:solidFill>
              <w14:schemeClr w14:val="tx1"/>
            </w14:solidFill>
          </w14:textFill>
        </w:rPr>
        <w:t>行</w:t>
      </w:r>
      <w:r>
        <w:rPr>
          <w:rFonts w:hint="eastAsia" w:ascii="宋体" w:hAnsi="宋体" w:eastAsia="宋体" w:cs="宋体"/>
          <w:color w:val="000000" w:themeColor="text1"/>
          <w:sz w:val="24"/>
          <w:szCs w:val="24"/>
          <w:lang w:val="en-US" w:eastAsia="zh-CN"/>
          <w14:textFill>
            <w14:solidFill>
              <w14:schemeClr w14:val="tx1"/>
            </w14:solidFill>
          </w14:textFill>
        </w:rPr>
        <w:t>苏州</w:t>
      </w:r>
      <w:r>
        <w:rPr>
          <w:rFonts w:hint="eastAsia" w:ascii="宋体" w:hAnsi="宋体" w:eastAsia="宋体" w:cs="宋体"/>
          <w:color w:val="000000" w:themeColor="text1"/>
          <w:sz w:val="24"/>
          <w:szCs w:val="24"/>
          <w:lang w:val="en-US" w:eastAsia="zh-Hans"/>
          <w14:textFill>
            <w14:solidFill>
              <w14:schemeClr w14:val="tx1"/>
            </w14:solidFill>
          </w14:textFill>
        </w:rPr>
        <w:t>分行”）自身发展实际，研究制定</w:t>
      </w:r>
      <w:r>
        <w:rPr>
          <w:rFonts w:hint="eastAsia" w:ascii="宋体" w:hAnsi="宋体" w:eastAsia="宋体" w:cs="宋体"/>
          <w:color w:val="000000" w:themeColor="text1"/>
          <w:sz w:val="24"/>
          <w:szCs w:val="24"/>
          <w:lang w:val="en-US" w:eastAsia="zh-CN"/>
          <w14:textFill>
            <w14:solidFill>
              <w14:schemeClr w14:val="tx1"/>
            </w14:solidFill>
          </w14:textFill>
        </w:rPr>
        <w:t>工行苏州分行</w:t>
      </w:r>
      <w:r>
        <w:rPr>
          <w:rFonts w:hint="eastAsia" w:ascii="宋体" w:hAnsi="宋体" w:eastAsia="宋体" w:cs="宋体"/>
          <w:color w:val="000000" w:themeColor="text1"/>
          <w:sz w:val="24"/>
          <w:szCs w:val="24"/>
          <w:lang w:val="en-US" w:eastAsia="zh-Hans"/>
          <w14:textFill>
            <w14:solidFill>
              <w14:schemeClr w14:val="tx1"/>
            </w14:solidFill>
          </w14:textFill>
        </w:rPr>
        <w:t>转型规划。具体</w:t>
      </w:r>
      <w:r>
        <w:rPr>
          <w:rFonts w:hint="eastAsia" w:ascii="宋体" w:hAnsi="宋体" w:eastAsia="宋体" w:cs="宋体"/>
          <w:color w:val="000000" w:themeColor="text1"/>
          <w:sz w:val="24"/>
          <w:szCs w:val="24"/>
          <w:lang w:val="en-US" w:eastAsia="zh-CN"/>
          <w14:textFill>
            <w14:solidFill>
              <w14:schemeClr w14:val="tx1"/>
            </w14:solidFill>
          </w14:textFill>
        </w:rPr>
        <w:t>目标</w:t>
      </w:r>
      <w:r>
        <w:rPr>
          <w:rFonts w:hint="eastAsia" w:ascii="宋体" w:hAnsi="宋体" w:eastAsia="宋体" w:cs="宋体"/>
          <w:color w:val="000000" w:themeColor="text1"/>
          <w:sz w:val="24"/>
          <w:szCs w:val="24"/>
          <w:lang w:val="en-US" w:eastAsia="zh-Hans"/>
          <w14:textFill>
            <w14:solidFill>
              <w14:schemeClr w14:val="tx1"/>
            </w14:solidFill>
          </w14:textFill>
        </w:rPr>
        <w:t>包括：</w:t>
      </w:r>
    </w:p>
    <w:p w14:paraId="28D0879F">
      <w:pPr>
        <w:pStyle w:val="3"/>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b w:val="0"/>
          <w:bCs/>
          <w:color w:val="000000" w:themeColor="text1"/>
          <w:sz w:val="24"/>
          <w:szCs w:val="24"/>
          <w:lang w:val="en-US" w:eastAsia="zh-Hans"/>
          <w14:textFill>
            <w14:solidFill>
              <w14:schemeClr w14:val="tx1"/>
            </w14:solidFill>
          </w14:textFill>
        </w:rPr>
      </w:pPr>
      <w:r>
        <w:rPr>
          <w:rFonts w:hint="eastAsia" w:ascii="宋体" w:hAnsi="宋体" w:eastAsia="宋体" w:cs="宋体"/>
          <w:b w:val="0"/>
          <w:bCs/>
          <w:color w:val="000000" w:themeColor="text1"/>
          <w:sz w:val="24"/>
          <w:szCs w:val="24"/>
          <w:lang w:val="en-US" w:eastAsia="zh-Hans"/>
          <w14:textFill>
            <w14:solidFill>
              <w14:schemeClr w14:val="tx1"/>
            </w14:solidFill>
          </w14:textFill>
        </w:rPr>
        <w:t>一是分析</w:t>
      </w:r>
      <w:r>
        <w:rPr>
          <w:rFonts w:hint="eastAsia" w:ascii="宋体" w:hAnsi="宋体" w:eastAsia="宋体" w:cs="宋体"/>
          <w:b w:val="0"/>
          <w:bCs/>
          <w:color w:val="000000" w:themeColor="text1"/>
          <w:sz w:val="24"/>
          <w:szCs w:val="24"/>
          <w:lang w:val="en-US" w:eastAsia="zh-CN"/>
          <w14:textFill>
            <w14:solidFill>
              <w14:schemeClr w14:val="tx1"/>
            </w14:solidFill>
          </w14:textFill>
        </w:rPr>
        <w:t>工</w:t>
      </w:r>
      <w:r>
        <w:rPr>
          <w:rFonts w:hint="eastAsia" w:ascii="宋体" w:hAnsi="宋体" w:eastAsia="宋体" w:cs="宋体"/>
          <w:b w:val="0"/>
          <w:bCs/>
          <w:color w:val="000000" w:themeColor="text1"/>
          <w:sz w:val="24"/>
          <w:szCs w:val="24"/>
          <w:lang w:val="en-US" w:eastAsia="zh-Hans"/>
          <w14:textFill>
            <w14:solidFill>
              <w14:schemeClr w14:val="tx1"/>
            </w14:solidFill>
          </w14:textFill>
        </w:rPr>
        <w:t>行</w:t>
      </w:r>
      <w:r>
        <w:rPr>
          <w:rFonts w:hint="eastAsia" w:ascii="宋体" w:hAnsi="宋体" w:eastAsia="宋体" w:cs="宋体"/>
          <w:b w:val="0"/>
          <w:bCs/>
          <w:color w:val="000000" w:themeColor="text1"/>
          <w:sz w:val="24"/>
          <w:szCs w:val="24"/>
          <w:lang w:val="en-US" w:eastAsia="zh-CN"/>
          <w14:textFill>
            <w14:solidFill>
              <w14:schemeClr w14:val="tx1"/>
            </w14:solidFill>
          </w14:textFill>
        </w:rPr>
        <w:t>苏州</w:t>
      </w:r>
      <w:r>
        <w:rPr>
          <w:rFonts w:hint="eastAsia" w:ascii="宋体" w:hAnsi="宋体" w:eastAsia="宋体" w:cs="宋体"/>
          <w:b w:val="0"/>
          <w:bCs/>
          <w:color w:val="000000" w:themeColor="text1"/>
          <w:sz w:val="24"/>
          <w:szCs w:val="24"/>
          <w:lang w:val="en-US" w:eastAsia="zh-Hans"/>
          <w14:textFill>
            <w14:solidFill>
              <w14:schemeClr w14:val="tx1"/>
            </w14:solidFill>
          </w14:textFill>
        </w:rPr>
        <w:t>分行低碳转型基础条件，分析内容包括我国碳达峰碳中和实施路径、</w:t>
      </w:r>
      <w:r>
        <w:rPr>
          <w:rFonts w:hint="eastAsia" w:ascii="宋体" w:hAnsi="宋体" w:eastAsia="宋体" w:cs="宋体"/>
          <w:b w:val="0"/>
          <w:bCs/>
          <w:color w:val="000000" w:themeColor="text1"/>
          <w:sz w:val="24"/>
          <w:szCs w:val="24"/>
          <w:lang w:val="en-US" w:eastAsia="zh-CN"/>
          <w14:textFill>
            <w14:solidFill>
              <w14:schemeClr w14:val="tx1"/>
            </w14:solidFill>
          </w14:textFill>
        </w:rPr>
        <w:t>苏</w:t>
      </w:r>
      <w:r>
        <w:rPr>
          <w:rFonts w:hint="eastAsia" w:ascii="宋体" w:hAnsi="宋体" w:eastAsia="宋体" w:cs="宋体"/>
          <w:b w:val="0"/>
          <w:bCs/>
          <w:color w:val="000000" w:themeColor="text1"/>
          <w:sz w:val="24"/>
          <w:szCs w:val="24"/>
          <w:lang w:val="en-US" w:eastAsia="zh-Hans"/>
          <w14:textFill>
            <w14:solidFill>
              <w14:schemeClr w14:val="tx1"/>
            </w14:solidFill>
          </w14:textFill>
        </w:rPr>
        <w:t>州市主要产业（重点分析</w:t>
      </w:r>
      <w:r>
        <w:rPr>
          <w:rFonts w:hint="eastAsia" w:ascii="宋体" w:hAnsi="宋体" w:eastAsia="宋体" w:cs="宋体"/>
          <w:b w:val="0"/>
          <w:bCs/>
          <w:color w:val="000000" w:themeColor="text1"/>
          <w:sz w:val="24"/>
          <w:szCs w:val="24"/>
          <w:lang w:val="en-US" w:eastAsia="zh-CN"/>
          <w14:textFill>
            <w14:solidFill>
              <w14:schemeClr w14:val="tx1"/>
            </w14:solidFill>
          </w14:textFill>
        </w:rPr>
        <w:t>高碳行业</w:t>
      </w:r>
      <w:r>
        <w:rPr>
          <w:rFonts w:hint="eastAsia" w:ascii="宋体" w:hAnsi="宋体" w:eastAsia="宋体" w:cs="宋体"/>
          <w:b w:val="0"/>
          <w:bCs/>
          <w:color w:val="000000" w:themeColor="text1"/>
          <w:sz w:val="24"/>
          <w:szCs w:val="24"/>
          <w:lang w:val="en-US" w:eastAsia="zh-Hans"/>
          <w14:textFill>
            <w14:solidFill>
              <w14:schemeClr w14:val="tx1"/>
            </w14:solidFill>
          </w14:textFill>
        </w:rPr>
        <w:t>），以及</w:t>
      </w:r>
      <w:r>
        <w:rPr>
          <w:rFonts w:hint="eastAsia" w:ascii="宋体" w:hAnsi="宋体" w:eastAsia="宋体" w:cs="宋体"/>
          <w:b w:val="0"/>
          <w:bCs/>
          <w:color w:val="000000" w:themeColor="text1"/>
          <w:sz w:val="24"/>
          <w:szCs w:val="24"/>
          <w:lang w:val="en-US" w:eastAsia="zh-CN"/>
          <w14:textFill>
            <w14:solidFill>
              <w14:schemeClr w14:val="tx1"/>
            </w14:solidFill>
          </w14:textFill>
        </w:rPr>
        <w:t>工</w:t>
      </w:r>
      <w:r>
        <w:rPr>
          <w:rFonts w:hint="eastAsia" w:ascii="宋体" w:hAnsi="宋体" w:eastAsia="宋体" w:cs="宋体"/>
          <w:b w:val="0"/>
          <w:bCs/>
          <w:color w:val="000000" w:themeColor="text1"/>
          <w:sz w:val="24"/>
          <w:szCs w:val="24"/>
          <w:lang w:val="en-US" w:eastAsia="zh-Hans"/>
          <w14:textFill>
            <w14:solidFill>
              <w14:schemeClr w14:val="tx1"/>
            </w14:solidFill>
          </w14:textFill>
        </w:rPr>
        <w:t>行</w:t>
      </w:r>
      <w:r>
        <w:rPr>
          <w:rFonts w:hint="eastAsia" w:ascii="宋体" w:hAnsi="宋体" w:eastAsia="宋体" w:cs="宋体"/>
          <w:b w:val="0"/>
          <w:bCs/>
          <w:color w:val="000000" w:themeColor="text1"/>
          <w:sz w:val="24"/>
          <w:szCs w:val="24"/>
          <w:lang w:val="en-US" w:eastAsia="zh-CN"/>
          <w14:textFill>
            <w14:solidFill>
              <w14:schemeClr w14:val="tx1"/>
            </w14:solidFill>
          </w14:textFill>
        </w:rPr>
        <w:t>苏州</w:t>
      </w:r>
      <w:r>
        <w:rPr>
          <w:rFonts w:hint="eastAsia" w:ascii="宋体" w:hAnsi="宋体" w:eastAsia="宋体" w:cs="宋体"/>
          <w:b w:val="0"/>
          <w:bCs/>
          <w:color w:val="000000" w:themeColor="text1"/>
          <w:sz w:val="24"/>
          <w:szCs w:val="24"/>
          <w:lang w:val="en-US" w:eastAsia="zh-Hans"/>
          <w14:textFill>
            <w14:solidFill>
              <w14:schemeClr w14:val="tx1"/>
            </w14:solidFill>
          </w14:textFill>
        </w:rPr>
        <w:t>分行业务开展情况及碳排放现状。</w:t>
      </w:r>
    </w:p>
    <w:p w14:paraId="565DE65C">
      <w:pPr>
        <w:pStyle w:val="3"/>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b w:val="0"/>
          <w:bCs/>
          <w:color w:val="000000" w:themeColor="text1"/>
          <w:sz w:val="24"/>
          <w:szCs w:val="24"/>
          <w:lang w:val="en-US" w:eastAsia="zh-Hans"/>
          <w14:textFill>
            <w14:solidFill>
              <w14:schemeClr w14:val="tx1"/>
            </w14:solidFill>
          </w14:textFill>
        </w:rPr>
      </w:pPr>
      <w:r>
        <w:rPr>
          <w:rFonts w:hint="eastAsia" w:ascii="宋体" w:hAnsi="宋体" w:eastAsia="宋体" w:cs="宋体"/>
          <w:b w:val="0"/>
          <w:bCs/>
          <w:color w:val="000000" w:themeColor="text1"/>
          <w:sz w:val="24"/>
          <w:szCs w:val="24"/>
          <w:lang w:val="en-US" w:eastAsia="zh-Hans"/>
          <w14:textFill>
            <w14:solidFill>
              <w14:schemeClr w14:val="tx1"/>
            </w14:solidFill>
          </w14:textFill>
        </w:rPr>
        <w:t>二是明确</w:t>
      </w:r>
      <w:r>
        <w:rPr>
          <w:rFonts w:hint="eastAsia" w:ascii="宋体" w:hAnsi="宋体" w:eastAsia="宋体" w:cs="宋体"/>
          <w:b w:val="0"/>
          <w:bCs/>
          <w:color w:val="000000" w:themeColor="text1"/>
          <w:sz w:val="24"/>
          <w:szCs w:val="24"/>
          <w:lang w:val="en-US" w:eastAsia="zh-CN"/>
          <w14:textFill>
            <w14:solidFill>
              <w14:schemeClr w14:val="tx1"/>
            </w14:solidFill>
          </w14:textFill>
        </w:rPr>
        <w:t>工</w:t>
      </w:r>
      <w:r>
        <w:rPr>
          <w:rFonts w:hint="eastAsia" w:ascii="宋体" w:hAnsi="宋体" w:eastAsia="宋体" w:cs="宋体"/>
          <w:b w:val="0"/>
          <w:bCs/>
          <w:color w:val="000000" w:themeColor="text1"/>
          <w:sz w:val="24"/>
          <w:szCs w:val="24"/>
          <w:lang w:val="en-US" w:eastAsia="zh-Hans"/>
          <w14:textFill>
            <w14:solidFill>
              <w14:schemeClr w14:val="tx1"/>
            </w14:solidFill>
          </w14:textFill>
        </w:rPr>
        <w:t>行</w:t>
      </w:r>
      <w:r>
        <w:rPr>
          <w:rFonts w:hint="eastAsia" w:ascii="宋体" w:hAnsi="宋体" w:eastAsia="宋体" w:cs="宋体"/>
          <w:b w:val="0"/>
          <w:bCs/>
          <w:color w:val="000000" w:themeColor="text1"/>
          <w:sz w:val="24"/>
          <w:szCs w:val="24"/>
          <w:lang w:val="en-US" w:eastAsia="zh-CN"/>
          <w14:textFill>
            <w14:solidFill>
              <w14:schemeClr w14:val="tx1"/>
            </w14:solidFill>
          </w14:textFill>
        </w:rPr>
        <w:t>苏州</w:t>
      </w:r>
      <w:r>
        <w:rPr>
          <w:rFonts w:hint="eastAsia" w:ascii="宋体" w:hAnsi="宋体" w:eastAsia="宋体" w:cs="宋体"/>
          <w:b w:val="0"/>
          <w:bCs/>
          <w:color w:val="000000" w:themeColor="text1"/>
          <w:sz w:val="24"/>
          <w:szCs w:val="24"/>
          <w:lang w:val="en-US" w:eastAsia="zh-Hans"/>
          <w14:textFill>
            <w14:solidFill>
              <w14:schemeClr w14:val="tx1"/>
            </w14:solidFill>
          </w14:textFill>
        </w:rPr>
        <w:t>分行转型目标，包括符合我国碳达峰碳中和目标的长期低碳转型愿景以及短、中、长期阶段性目标，并制定</w:t>
      </w:r>
      <w:r>
        <w:rPr>
          <w:rFonts w:hint="eastAsia" w:ascii="宋体" w:hAnsi="宋体" w:eastAsia="宋体" w:cs="宋体"/>
          <w:b w:val="0"/>
          <w:bCs/>
          <w:color w:val="000000" w:themeColor="text1"/>
          <w:sz w:val="24"/>
          <w:szCs w:val="24"/>
          <w:lang w:val="en-US" w:eastAsia="zh-CN"/>
          <w14:textFill>
            <w14:solidFill>
              <w14:schemeClr w14:val="tx1"/>
            </w14:solidFill>
          </w14:textFill>
        </w:rPr>
        <w:t>重点高碳</w:t>
      </w:r>
      <w:r>
        <w:rPr>
          <w:rFonts w:hint="eastAsia" w:ascii="宋体" w:hAnsi="宋体" w:eastAsia="宋体" w:cs="宋体"/>
          <w:b w:val="0"/>
          <w:bCs/>
          <w:color w:val="000000" w:themeColor="text1"/>
          <w:sz w:val="24"/>
          <w:szCs w:val="24"/>
          <w:lang w:val="en-US" w:eastAsia="zh-Hans"/>
          <w14:textFill>
            <w14:solidFill>
              <w14:schemeClr w14:val="tx1"/>
            </w14:solidFill>
          </w14:textFill>
        </w:rPr>
        <w:t>行业的转型目标及路径。</w:t>
      </w:r>
    </w:p>
    <w:p w14:paraId="3A8A5080">
      <w:pPr>
        <w:keepNext w:val="0"/>
        <w:keepLines w:val="0"/>
        <w:pageBreakBefore w:val="0"/>
        <w:numPr>
          <w:ilvl w:val="0"/>
          <w:numId w:val="0"/>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lang w:val="en-US" w:eastAsia="zh-Hans"/>
          <w14:textFill>
            <w14:solidFill>
              <w14:schemeClr w14:val="tx1"/>
            </w14:solidFill>
          </w14:textFill>
        </w:rPr>
      </w:pPr>
      <w:r>
        <w:rPr>
          <w:rFonts w:hint="eastAsia" w:ascii="宋体" w:hAnsi="宋体" w:eastAsia="宋体" w:cs="宋体"/>
          <w:color w:val="000000" w:themeColor="text1"/>
          <w:sz w:val="24"/>
          <w:szCs w:val="24"/>
          <w:lang w:val="en-US" w:eastAsia="zh-Hans"/>
          <w14:textFill>
            <w14:solidFill>
              <w14:schemeClr w14:val="tx1"/>
            </w14:solidFill>
          </w14:textFill>
        </w:rPr>
        <w:t>三是制定</w:t>
      </w:r>
      <w:r>
        <w:rPr>
          <w:rFonts w:hint="eastAsia" w:ascii="宋体" w:hAnsi="宋体" w:eastAsia="宋体" w:cs="宋体"/>
          <w:color w:val="000000" w:themeColor="text1"/>
          <w:sz w:val="24"/>
          <w:szCs w:val="24"/>
          <w:lang w:val="en-US" w:eastAsia="zh-CN"/>
          <w14:textFill>
            <w14:solidFill>
              <w14:schemeClr w14:val="tx1"/>
            </w14:solidFill>
          </w14:textFill>
        </w:rPr>
        <w:t>工</w:t>
      </w:r>
      <w:r>
        <w:rPr>
          <w:rFonts w:hint="eastAsia" w:ascii="宋体" w:hAnsi="宋体" w:eastAsia="宋体" w:cs="宋体"/>
          <w:color w:val="000000" w:themeColor="text1"/>
          <w:sz w:val="24"/>
          <w:szCs w:val="24"/>
          <w:lang w:val="en-US" w:eastAsia="zh-Hans"/>
          <w14:textFill>
            <w14:solidFill>
              <w14:schemeClr w14:val="tx1"/>
            </w14:solidFill>
          </w14:textFill>
        </w:rPr>
        <w:t>行</w:t>
      </w:r>
      <w:r>
        <w:rPr>
          <w:rFonts w:hint="eastAsia" w:ascii="宋体" w:hAnsi="宋体" w:eastAsia="宋体" w:cs="宋体"/>
          <w:color w:val="000000" w:themeColor="text1"/>
          <w:sz w:val="24"/>
          <w:szCs w:val="24"/>
          <w:lang w:val="en-US" w:eastAsia="zh-CN"/>
          <w14:textFill>
            <w14:solidFill>
              <w14:schemeClr w14:val="tx1"/>
            </w14:solidFill>
          </w14:textFill>
        </w:rPr>
        <w:t>苏州</w:t>
      </w:r>
      <w:r>
        <w:rPr>
          <w:rFonts w:hint="eastAsia" w:ascii="宋体" w:hAnsi="宋体" w:eastAsia="宋体" w:cs="宋体"/>
          <w:color w:val="000000" w:themeColor="text1"/>
          <w:sz w:val="24"/>
          <w:szCs w:val="24"/>
          <w:lang w:val="en-US" w:eastAsia="zh-Hans"/>
          <w14:textFill>
            <w14:solidFill>
              <w14:schemeClr w14:val="tx1"/>
            </w14:solidFill>
          </w14:textFill>
        </w:rPr>
        <w:t>分行转型策略，包括机构治理和组织体系、可持续产品与服务、转型金融流程管理及可持续风险管理等方面。</w:t>
      </w:r>
    </w:p>
    <w:p w14:paraId="25BF81B9">
      <w:pPr>
        <w:keepNext w:val="0"/>
        <w:keepLines w:val="0"/>
        <w:pageBreakBefore w:val="0"/>
        <w:numPr>
          <w:ilvl w:val="0"/>
          <w:numId w:val="0"/>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Hans"/>
          <w14:textFill>
            <w14:solidFill>
              <w14:schemeClr w14:val="tx1"/>
            </w14:solidFill>
          </w14:textFill>
        </w:rPr>
        <w:t>四是提出沟通、调整与透明度方面的行动，包括加强能力建设与文化建设、支持政策制定与推动、支持引导客户低碳转型，以及开展审计、动态调整和对外信息披露等内容。</w:t>
      </w:r>
    </w:p>
    <w:p w14:paraId="47836030">
      <w:pPr>
        <w:pStyle w:val="2"/>
        <w:keepNext w:val="0"/>
        <w:keepLines w:val="0"/>
        <w:pageBreakBefore w:val="0"/>
        <w:numPr>
          <w:ilvl w:val="0"/>
          <w:numId w:val="1"/>
        </w:numPr>
        <w:kinsoku/>
        <w:wordWrap/>
        <w:overflowPunct/>
        <w:topLinePunct w:val="0"/>
        <w:autoSpaceDE/>
        <w:autoSpaceDN/>
        <w:bidi w:val="0"/>
        <w:adjustRightInd/>
        <w:snapToGrid/>
        <w:spacing w:before="0" w:beforeLines="0"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研究内容</w:t>
      </w:r>
    </w:p>
    <w:p w14:paraId="30A5C1D8">
      <w:pPr>
        <w:pStyle w:val="3"/>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（一）转型发展背景</w:t>
      </w:r>
    </w:p>
    <w:p w14:paraId="63F5E4C1">
      <w:pPr>
        <w:pStyle w:val="39"/>
        <w:keepNext w:val="0"/>
        <w:keepLines w:val="0"/>
        <w:pageBreakBefore w:val="0"/>
        <w:numPr>
          <w:ilvl w:val="0"/>
          <w:numId w:val="2"/>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国家碳达峰碳中和相关政策：梳理国内外相关政策，聚焦高碳产业转型、双碳、绿色金融等关键领域，分析高碳行业的减排路径，精准掌握政策动向；</w:t>
      </w:r>
    </w:p>
    <w:p w14:paraId="348722C2">
      <w:pPr>
        <w:pStyle w:val="39"/>
        <w:keepNext w:val="0"/>
        <w:keepLines w:val="0"/>
        <w:pageBreakBefore w:val="0"/>
        <w:numPr>
          <w:ilvl w:val="0"/>
          <w:numId w:val="2"/>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区域产业转型规划：</w:t>
      </w:r>
      <w:r>
        <w:rPr>
          <w:rFonts w:hint="eastAsia" w:ascii="宋体" w:hAnsi="宋体" w:eastAsia="宋体" w:cs="宋体"/>
          <w:color w:val="000000" w:themeColor="text1"/>
          <w:sz w:val="24"/>
          <w:szCs w:val="24"/>
          <w:shd w:val="clear" w:color="auto" w:fill="FFFFFF"/>
          <w14:textFill>
            <w14:solidFill>
              <w14:schemeClr w14:val="tx1"/>
            </w14:solidFill>
          </w14:textFill>
        </w:rPr>
        <w:t>对省、市层面的产业结构开展系统性调研分析，全面掌握产业发展现状；重点关注高耗能、高排放等亟需转型升级的产业领域，深入分析其绿色低碳转型的具体路径和实施策略；</w:t>
      </w:r>
    </w:p>
    <w:p w14:paraId="48E17F9D">
      <w:pPr>
        <w:pStyle w:val="39"/>
        <w:keepNext w:val="0"/>
        <w:keepLines w:val="0"/>
        <w:pageBreakBefore w:val="0"/>
        <w:numPr>
          <w:ilvl w:val="0"/>
          <w:numId w:val="2"/>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本行转型发展基础：总结行内转型相关工作基础，包括但不限于机构运营和资产组合碳排放现状、机构低碳运营进展、转型金融业务探索等，分析高碳行业业务占比，结合市场特征与自身战略定位，明确重点转型行业。</w:t>
      </w:r>
    </w:p>
    <w:p w14:paraId="58EFF6BE">
      <w:pPr>
        <w:pStyle w:val="3"/>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（二）转型发展目标</w:t>
      </w:r>
    </w:p>
    <w:p w14:paraId="36002B2C">
      <w:pPr>
        <w:pStyle w:val="39"/>
        <w:keepNext w:val="0"/>
        <w:keepLines w:val="0"/>
        <w:pageBreakBefore w:val="0"/>
        <w:numPr>
          <w:ilvl w:val="0"/>
          <w:numId w:val="3"/>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长期转型愿景：转型目标上应该立足所国家的碳达峰碳中和规划，</w:t>
      </w:r>
      <w:r>
        <w:rPr>
          <w:rFonts w:hint="eastAsia" w:ascii="宋体" w:hAnsi="宋体" w:eastAsia="宋体" w:cs="宋体"/>
          <w:color w:val="000000" w:themeColor="text1"/>
          <w:sz w:val="24"/>
          <w:szCs w:val="24"/>
          <w:shd w:val="clear" w:color="auto" w:fill="FFFFFF"/>
          <w14:textFill>
            <w14:solidFill>
              <w14:schemeClr w14:val="tx1"/>
            </w14:solidFill>
          </w14:textFill>
        </w:rPr>
        <w:t>确保与2030年前实现碳达峰、2060年前实现碳中和的总体目标保持一致，</w:t>
      </w:r>
      <w:r>
        <w:rPr>
          <w:rFonts w:hint="eastAsia" w:ascii="宋体" w:hAnsi="宋体" w:eastAsia="宋体" w:cs="宋体"/>
          <w:color w:val="000000" w:themeColor="text1"/>
          <w:sz w:val="24"/>
          <w:szCs w:val="24"/>
          <w14:textFill>
            <w14:solidFill>
              <w14:schemeClr w14:val="tx1"/>
            </w14:solidFill>
          </w14:textFill>
        </w:rPr>
        <w:t>综合</w:t>
      </w:r>
      <w:r>
        <w:rPr>
          <w:rFonts w:hint="eastAsia" w:ascii="宋体" w:hAnsi="宋体" w:eastAsia="宋体" w:cs="宋体"/>
          <w:color w:val="000000" w:themeColor="text1"/>
          <w:sz w:val="24"/>
          <w:szCs w:val="24"/>
          <w:shd w:val="clear" w:color="auto" w:fill="FFFFFF"/>
          <w14:textFill>
            <w14:solidFill>
              <w14:schemeClr w14:val="tx1"/>
            </w14:solidFill>
          </w14:textFill>
        </w:rPr>
        <w:t>自身业务特点和实际情况，制定科学合理的转型发展目标；</w:t>
      </w:r>
    </w:p>
    <w:p w14:paraId="66CC322B">
      <w:pPr>
        <w:pStyle w:val="39"/>
        <w:keepNext w:val="0"/>
        <w:keepLines w:val="0"/>
        <w:pageBreakBefore w:val="0"/>
        <w:numPr>
          <w:ilvl w:val="0"/>
          <w:numId w:val="3"/>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阶段目标：研究设立定性与定量的短期目标，</w:t>
      </w:r>
      <w:r>
        <w:rPr>
          <w:rFonts w:hint="eastAsia" w:ascii="宋体" w:hAnsi="宋体" w:eastAsia="宋体" w:cs="宋体"/>
          <w:color w:val="000000" w:themeColor="text1"/>
          <w:sz w:val="24"/>
          <w:szCs w:val="24"/>
          <w:shd w:val="clear" w:color="auto" w:fill="FFFFFF"/>
          <w14:textFill>
            <w14:solidFill>
              <w14:schemeClr w14:val="tx1"/>
            </w14:solidFill>
          </w14:textFill>
        </w:rPr>
        <w:t>设定可衡量的短期目标能有效评估银行转型进程，同时确保转型工作分步骤、分阶段扎实推进。</w:t>
      </w:r>
    </w:p>
    <w:p w14:paraId="37725258">
      <w:pPr>
        <w:pStyle w:val="3"/>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（三）重点行业投融资转型路径及目标</w:t>
      </w:r>
    </w:p>
    <w:p w14:paraId="6BCB1A52">
      <w:pPr>
        <w:pStyle w:val="39"/>
        <w:keepNext w:val="0"/>
        <w:keepLines w:val="0"/>
        <w:pageBreakBefore w:val="0"/>
        <w:numPr>
          <w:ilvl w:val="0"/>
          <w:numId w:val="4"/>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重点行业转型技术路径：研究各级主管部门重点行业的相关政策、转型目录与本地企业实践，梳理转型技术或路径；</w:t>
      </w:r>
    </w:p>
    <w:p w14:paraId="586DE15C">
      <w:pPr>
        <w:pStyle w:val="39"/>
        <w:keepNext w:val="0"/>
        <w:keepLines w:val="0"/>
        <w:pageBreakBefore w:val="0"/>
        <w:numPr>
          <w:ilvl w:val="0"/>
          <w:numId w:val="4"/>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重点行业投融资碳减排目标：</w:t>
      </w:r>
      <w:bookmarkStart w:id="0" w:name="OLE_LINK11"/>
      <w:r>
        <w:rPr>
          <w:rFonts w:hint="eastAsia" w:ascii="宋体" w:hAnsi="宋体" w:eastAsia="宋体" w:cs="宋体"/>
          <w:color w:val="000000" w:themeColor="text1"/>
          <w:sz w:val="24"/>
          <w:szCs w:val="24"/>
          <w14:textFill>
            <w14:solidFill>
              <w14:schemeClr w14:val="tx1"/>
            </w14:solidFill>
          </w14:textFill>
        </w:rPr>
        <w:t>对重点行业客户（范围三）进行碳排放核算，挖掘</w:t>
      </w:r>
      <w:r>
        <w:rPr>
          <w:rFonts w:hint="eastAsia" w:ascii="宋体" w:hAnsi="宋体" w:eastAsia="宋体" w:cs="宋体"/>
          <w:color w:val="000000" w:themeColor="text1"/>
          <w:sz w:val="24"/>
          <w:szCs w:val="24"/>
          <w:shd w:val="clear" w:color="auto" w:fill="FFFFFF"/>
          <w14:textFill>
            <w14:solidFill>
              <w14:schemeClr w14:val="tx1"/>
            </w14:solidFill>
          </w14:textFill>
        </w:rPr>
        <w:t>出符合银行转型战略的客户群体</w:t>
      </w:r>
      <w:r>
        <w:rPr>
          <w:rFonts w:hint="eastAsia" w:ascii="宋体" w:hAnsi="宋体" w:eastAsia="宋体" w:cs="宋体"/>
          <w:color w:val="000000" w:themeColor="text1"/>
          <w:sz w:val="24"/>
          <w:szCs w:val="24"/>
          <w14:textFill>
            <w14:solidFill>
              <w14:schemeClr w14:val="tx1"/>
            </w14:solidFill>
          </w14:textFill>
        </w:rPr>
        <w:t>，同时设立重点行业碳减排目标（如2030年该行业客户碳排放水平下降相对值或绝对值）</w:t>
      </w:r>
      <w:bookmarkEnd w:id="0"/>
      <w:r>
        <w:rPr>
          <w:rFonts w:hint="eastAsia" w:ascii="宋体" w:hAnsi="宋体" w:eastAsia="宋体" w:cs="宋体"/>
          <w:color w:val="000000" w:themeColor="text1"/>
          <w:sz w:val="24"/>
          <w:szCs w:val="24"/>
          <w14:textFill>
            <w14:solidFill>
              <w14:schemeClr w14:val="tx1"/>
            </w14:solidFill>
          </w14:textFill>
        </w:rPr>
        <w:t>；</w:t>
      </w:r>
    </w:p>
    <w:p w14:paraId="1E7456A1">
      <w:pPr>
        <w:pStyle w:val="39"/>
        <w:keepNext w:val="0"/>
        <w:keepLines w:val="0"/>
        <w:pageBreakBefore w:val="0"/>
        <w:numPr>
          <w:ilvl w:val="0"/>
          <w:numId w:val="4"/>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重点行业转型业务策略：针对重点转型行业调整更改授信政策，将</w:t>
      </w:r>
      <w:r>
        <w:rPr>
          <w:rFonts w:hint="eastAsia" w:ascii="宋体" w:hAnsi="宋体" w:eastAsia="宋体" w:cs="宋体"/>
          <w:color w:val="000000" w:themeColor="text1"/>
          <w:sz w:val="24"/>
          <w:szCs w:val="24"/>
          <w:shd w:val="clear" w:color="auto" w:fill="FFFFFF"/>
          <w14:textFill>
            <w14:solidFill>
              <w14:schemeClr w14:val="tx1"/>
            </w14:solidFill>
          </w14:textFill>
        </w:rPr>
        <w:t>信贷资源配置与企业转型进程绑定</w:t>
      </w:r>
      <w:r>
        <w:rPr>
          <w:rFonts w:hint="eastAsia" w:ascii="宋体" w:hAnsi="宋体" w:eastAsia="宋体" w:cs="宋体"/>
          <w:color w:val="000000" w:themeColor="text1"/>
          <w:sz w:val="24"/>
          <w:szCs w:val="24"/>
          <w14:textFill>
            <w14:solidFill>
              <w14:schemeClr w14:val="tx1"/>
            </w14:solidFill>
          </w14:textFill>
        </w:rPr>
        <w:t>（如对转型积极企业给予授信支持、减少或退出高碳行业的项目及企业），逐步推进转型；创新开发转型金融产品，为具备转型意愿但面临融资瓶颈的企业主体提供金融工具，协助企业向绿色低碳转型。</w:t>
      </w:r>
    </w:p>
    <w:p w14:paraId="6CE4376C">
      <w:pPr>
        <w:pStyle w:val="3"/>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（四）转型规划实施措施</w:t>
      </w:r>
    </w:p>
    <w:p w14:paraId="2F4FE310">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 完善转型相关治理和组织体系</w:t>
      </w:r>
    </w:p>
    <w:p w14:paraId="79AFAF56">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健全与转型金融发展相适应的治理体系和组织架构，建立由</w:t>
      </w:r>
      <w:r>
        <w:rPr>
          <w:rFonts w:hint="eastAsia" w:ascii="宋体" w:hAnsi="宋体" w:eastAsia="宋体" w:cs="宋体"/>
          <w:color w:val="000000" w:themeColor="text1"/>
          <w:sz w:val="24"/>
          <w:szCs w:val="24"/>
          <w:lang w:val="en-US" w:eastAsia="zh-CN"/>
          <w14:textFill>
            <w14:solidFill>
              <w14:schemeClr w14:val="tx1"/>
            </w14:solidFill>
          </w14:textFill>
        </w:rPr>
        <w:t>分行</w:t>
      </w:r>
      <w:r>
        <w:rPr>
          <w:rFonts w:hint="eastAsia" w:ascii="宋体" w:hAnsi="宋体" w:eastAsia="宋体" w:cs="宋体"/>
          <w:color w:val="000000" w:themeColor="text1"/>
          <w:sz w:val="24"/>
          <w:szCs w:val="24"/>
          <w14:textFill>
            <w14:solidFill>
              <w14:schemeClr w14:val="tx1"/>
            </w14:solidFill>
          </w14:textFill>
        </w:rPr>
        <w:t>领导牵头负责的专项工作管理机制，统筹协调前中后台各部门职能定位，明确划分业务条线与支持部门的职责边界，并建立跨部门协同联动机制，确保转型金融工作有序推进。</w:t>
      </w:r>
    </w:p>
    <w:p w14:paraId="2E884B4B">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 健全转型政策制度</w:t>
      </w:r>
    </w:p>
    <w:p w14:paraId="652B1BF3">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建立健全支持企业转型的政策体系，将信贷政策、激励考核与企业转型挂钩，为转型业务设立适配的政策制度，包括但不限于行业授信政策、转型风险管理制度、机构低碳运营方案等。</w:t>
      </w:r>
    </w:p>
    <w:p w14:paraId="201B8404">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3. 丰富转型金融产品服务</w:t>
      </w:r>
    </w:p>
    <w:p w14:paraId="3AE34630">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专门针对处于不同转型阶段的企业，开发差异化转型金融产品和服务，有效排除企业在低碳转型过程中面临的资金瓶颈、技术瓶颈和转型动力不足等阻挠，全面助力实现低碳转型目标。</w:t>
      </w:r>
    </w:p>
    <w:p w14:paraId="5AA45442">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 建立支持转型的业务流程</w:t>
      </w:r>
    </w:p>
    <w:p w14:paraId="772ACCEB">
      <w:pPr>
        <w:pStyle w:val="39"/>
        <w:keepNext w:val="0"/>
        <w:keepLines w:val="0"/>
        <w:pageBreakBefore w:val="0"/>
        <w:numPr>
          <w:ilvl w:val="1"/>
          <w:numId w:val="3"/>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贷前调查：</w:t>
      </w:r>
      <w:r>
        <w:rPr>
          <w:rFonts w:hint="eastAsia" w:ascii="宋体" w:hAnsi="宋体" w:eastAsia="宋体" w:cs="宋体"/>
          <w:color w:val="000000" w:themeColor="text1"/>
          <w:sz w:val="24"/>
          <w:szCs w:val="24"/>
          <w:shd w:val="clear" w:color="auto" w:fill="FFFFFF"/>
          <w14:textFill>
            <w14:solidFill>
              <w14:schemeClr w14:val="tx1"/>
            </w14:solidFill>
          </w14:textFill>
        </w:rPr>
        <w:t>对转型目标客户实施综合筛选与评估，通过尽职调查流程，全面分析客户的低碳转型潜力与实施可行性；</w:t>
      </w:r>
    </w:p>
    <w:p w14:paraId="3D1CFE8B">
      <w:pPr>
        <w:pStyle w:val="39"/>
        <w:keepNext w:val="0"/>
        <w:keepLines w:val="0"/>
        <w:pageBreakBefore w:val="0"/>
        <w:numPr>
          <w:ilvl w:val="1"/>
          <w:numId w:val="3"/>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转型目标与方案：</w:t>
      </w:r>
      <w:r>
        <w:rPr>
          <w:rFonts w:hint="eastAsia" w:ascii="宋体" w:hAnsi="宋体" w:eastAsia="宋体" w:cs="宋体"/>
          <w:color w:val="000000" w:themeColor="text1"/>
          <w:sz w:val="24"/>
          <w:szCs w:val="24"/>
          <w:shd w:val="clear" w:color="auto" w:fill="FFFFFF"/>
          <w14:textFill>
            <w14:solidFill>
              <w14:schemeClr w14:val="tx1"/>
            </w14:solidFill>
          </w14:textFill>
        </w:rPr>
        <w:t>协助客户设定符合行业基准的科学转型目标，共同制定分阶段转型实施方案，设计转型贷款方案；</w:t>
      </w:r>
    </w:p>
    <w:p w14:paraId="6D2F44A3">
      <w:pPr>
        <w:pStyle w:val="39"/>
        <w:keepNext w:val="0"/>
        <w:keepLines w:val="0"/>
        <w:pageBreakBefore w:val="0"/>
        <w:numPr>
          <w:ilvl w:val="1"/>
          <w:numId w:val="3"/>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贷款审批：审定转型贷款，合理把控融资限额，批复信用总量；</w:t>
      </w:r>
    </w:p>
    <w:p w14:paraId="49690026">
      <w:pPr>
        <w:pStyle w:val="39"/>
        <w:keepNext w:val="0"/>
        <w:keepLines w:val="0"/>
        <w:pageBreakBefore w:val="0"/>
        <w:numPr>
          <w:ilvl w:val="1"/>
          <w:numId w:val="3"/>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贷款发放：结合企业低碳转型开展建设及阶段性目标完成情况实施灵活贷款发放；</w:t>
      </w:r>
    </w:p>
    <w:p w14:paraId="29F49139">
      <w:pPr>
        <w:pStyle w:val="39"/>
        <w:keepNext w:val="0"/>
        <w:keepLines w:val="0"/>
        <w:pageBreakBefore w:val="0"/>
        <w:numPr>
          <w:ilvl w:val="1"/>
          <w:numId w:val="3"/>
        </w:numPr>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贷后管理：定期监测转型企业经营风险与降碳目标完成风险，追踪企业转型进度，确保企业实际转型符合其转型计划。</w:t>
      </w:r>
    </w:p>
    <w:p w14:paraId="6C894952">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6. 推进机构低碳运营</w:t>
      </w:r>
    </w:p>
    <w:p w14:paraId="69CEC3C0">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落实机构低碳运营方案；健全机构运营碳核算管理机制与工具，参照碳核算指南要求，核查</w:t>
      </w:r>
      <w:r>
        <w:rPr>
          <w:rFonts w:hint="eastAsia" w:ascii="宋体" w:hAnsi="宋体" w:eastAsia="宋体" w:cs="宋体"/>
          <w:color w:val="000000" w:themeColor="text1"/>
          <w:sz w:val="24"/>
          <w:szCs w:val="24"/>
          <w:lang w:val="en-US" w:eastAsia="zh-CN"/>
          <w14:textFill>
            <w14:solidFill>
              <w14:schemeClr w14:val="tx1"/>
            </w14:solidFill>
          </w14:textFill>
        </w:rPr>
        <w:t>金融机构</w:t>
      </w:r>
      <w:r>
        <w:rPr>
          <w:rFonts w:hint="eastAsia" w:ascii="宋体" w:hAnsi="宋体" w:eastAsia="宋体" w:cs="宋体"/>
          <w:color w:val="000000" w:themeColor="text1"/>
          <w:sz w:val="24"/>
          <w:szCs w:val="24"/>
          <w14:textFill>
            <w14:solidFill>
              <w14:schemeClr w14:val="tx1"/>
            </w14:solidFill>
          </w14:textFill>
        </w:rPr>
        <w:t>各环节碳排放量，总结分析</w:t>
      </w:r>
      <w:r>
        <w:rPr>
          <w:rFonts w:hint="eastAsia" w:ascii="宋体" w:hAnsi="宋体" w:eastAsia="宋体" w:cs="宋体"/>
          <w:color w:val="000000" w:themeColor="text1"/>
          <w:sz w:val="24"/>
          <w:szCs w:val="24"/>
          <w:lang w:val="en-US" w:eastAsia="zh-CN"/>
          <w14:textFill>
            <w14:solidFill>
              <w14:schemeClr w14:val="tx1"/>
            </w14:solidFill>
          </w14:textFill>
        </w:rPr>
        <w:t>金融机构</w:t>
      </w:r>
      <w:r>
        <w:rPr>
          <w:rFonts w:hint="eastAsia" w:ascii="宋体" w:hAnsi="宋体" w:eastAsia="宋体" w:cs="宋体"/>
          <w:color w:val="000000" w:themeColor="text1"/>
          <w:sz w:val="24"/>
          <w:szCs w:val="24"/>
          <w14:textFill>
            <w14:solidFill>
              <w14:schemeClr w14:val="tx1"/>
            </w14:solidFill>
          </w14:textFill>
        </w:rPr>
        <w:t>碳排放现状</w:t>
      </w:r>
      <w:r>
        <w:rPr>
          <w:rFonts w:hint="eastAsia" w:ascii="宋体" w:hAnsi="宋体" w:eastAsia="宋体" w:cs="宋体"/>
          <w:color w:val="000000" w:themeColor="text1"/>
          <w:sz w:val="24"/>
          <w:szCs w:val="24"/>
          <w:lang w:val="en-US" w:eastAsia="zh-CN"/>
          <w14:textFill>
            <w14:solidFill>
              <w14:schemeClr w14:val="tx1"/>
            </w14:solidFill>
          </w14:textFill>
        </w:rPr>
        <w:t>和低碳运营阶段措施</w:t>
      </w:r>
      <w:r>
        <w:rPr>
          <w:rFonts w:hint="eastAsia" w:ascii="宋体" w:hAnsi="宋体" w:eastAsia="宋体" w:cs="宋体"/>
          <w:color w:val="000000" w:themeColor="text1"/>
          <w:sz w:val="24"/>
          <w:szCs w:val="24"/>
          <w14:textFill>
            <w14:solidFill>
              <w14:schemeClr w14:val="tx1"/>
            </w14:solidFill>
          </w14:textFill>
        </w:rPr>
        <w:t>。</w:t>
      </w:r>
    </w:p>
    <w:p w14:paraId="3C388B6B">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7. 加强专业能力建设</w:t>
      </w:r>
    </w:p>
    <w:p w14:paraId="7E3FE537">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以提升关键领域低碳转型专业能力为目标，完善人才培养、引进、使用全链条机制。加强专业机构建设，培育复合型人才梯队，持续增强绿色发展的人才保障和支持。</w:t>
      </w:r>
    </w:p>
    <w:p w14:paraId="7BD72209">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8. 开展对外交流、沟通及合作</w:t>
      </w:r>
    </w:p>
    <w:p w14:paraId="07419CEC">
      <w:pPr>
        <w:pStyle w:val="39"/>
        <w:keepNext w:val="0"/>
        <w:keepLines w:val="0"/>
        <w:pageBreakBefore w:val="0"/>
        <w:numPr>
          <w:ilvl w:val="0"/>
          <w:numId w:val="5"/>
        </w:numPr>
        <w:kinsoku/>
        <w:wordWrap/>
        <w:overflowPunct/>
        <w:topLinePunct w:val="0"/>
        <w:autoSpaceDE/>
        <w:autoSpaceDN/>
        <w:bidi w:val="0"/>
        <w:adjustRightInd/>
        <w:snapToGrid/>
        <w:spacing w:after="120" w:line="360" w:lineRule="auto"/>
        <w:ind w:left="0" w:leftChars="0" w:firstLine="480" w:firstLineChars="200"/>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加强可持续信息披露：提升全行碳排放、能耗等定量指标占比，完善环境信息披露制度，加强气候风险相关风险和机遇分析；</w:t>
      </w:r>
    </w:p>
    <w:p w14:paraId="7B2DC18D">
      <w:pPr>
        <w:pStyle w:val="39"/>
        <w:keepNext w:val="0"/>
        <w:keepLines w:val="0"/>
        <w:pageBreakBefore w:val="0"/>
        <w:numPr>
          <w:ilvl w:val="0"/>
          <w:numId w:val="5"/>
        </w:numPr>
        <w:kinsoku/>
        <w:wordWrap/>
        <w:overflowPunct/>
        <w:topLinePunct w:val="0"/>
        <w:autoSpaceDE/>
        <w:autoSpaceDN/>
        <w:bidi w:val="0"/>
        <w:adjustRightInd/>
        <w:snapToGrid/>
        <w:spacing w:after="120" w:line="360" w:lineRule="auto"/>
        <w:ind w:left="0" w:leftChars="0" w:firstLine="480" w:firstLineChars="200"/>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引导客户转型：加强对客户转型理念的宣传，提供多元化金融服务及融资支持；</w:t>
      </w:r>
    </w:p>
    <w:p w14:paraId="06ACF7EF">
      <w:pPr>
        <w:pStyle w:val="39"/>
        <w:keepNext w:val="0"/>
        <w:keepLines w:val="0"/>
        <w:pageBreakBefore w:val="0"/>
        <w:numPr>
          <w:ilvl w:val="0"/>
          <w:numId w:val="5"/>
        </w:numPr>
        <w:kinsoku/>
        <w:wordWrap/>
        <w:overflowPunct/>
        <w:topLinePunct w:val="0"/>
        <w:autoSpaceDE/>
        <w:autoSpaceDN/>
        <w:bidi w:val="0"/>
        <w:adjustRightInd/>
        <w:snapToGrid/>
        <w:spacing w:after="120" w:line="360" w:lineRule="auto"/>
        <w:ind w:left="0" w:leftChars="0" w:firstLine="480" w:firstLineChars="200"/>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与监管机构交流合作：积极采用各类政策工具、承接创新试点，在转型金融标准、业务等方面先行先试，推广有益经验；</w:t>
      </w:r>
    </w:p>
    <w:p w14:paraId="7AB4ACF6">
      <w:pPr>
        <w:pStyle w:val="39"/>
        <w:keepNext w:val="0"/>
        <w:keepLines w:val="0"/>
        <w:pageBreakBefore w:val="0"/>
        <w:numPr>
          <w:ilvl w:val="0"/>
          <w:numId w:val="5"/>
        </w:numPr>
        <w:kinsoku/>
        <w:wordWrap/>
        <w:overflowPunct/>
        <w:topLinePunct w:val="0"/>
        <w:autoSpaceDE/>
        <w:autoSpaceDN/>
        <w:bidi w:val="0"/>
        <w:adjustRightInd/>
        <w:snapToGrid/>
        <w:spacing w:after="120" w:line="360" w:lineRule="auto"/>
        <w:ind w:left="0" w:leftChars="0" w:firstLine="480" w:firstLineChars="200"/>
        <w:jc w:val="left"/>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加强与相关部门的沟通交流：加强与金融管理部门、地方政府、行业专家及专业机构的互动交流，利用支持政策，承接创新试点，建立研究成果。</w:t>
      </w:r>
    </w:p>
    <w:p w14:paraId="663CB5A0">
      <w:pPr>
        <w:pStyle w:val="2"/>
        <w:keepNext w:val="0"/>
        <w:keepLines w:val="0"/>
        <w:pageBreakBefore w:val="0"/>
        <w:numPr>
          <w:ilvl w:val="0"/>
          <w:numId w:val="1"/>
        </w:numPr>
        <w:kinsoku/>
        <w:wordWrap/>
        <w:overflowPunct/>
        <w:topLinePunct w:val="0"/>
        <w:autoSpaceDE/>
        <w:autoSpaceDN/>
        <w:bidi w:val="0"/>
        <w:adjustRightInd/>
        <w:snapToGrid/>
        <w:spacing w:before="0" w:beforeLines="0"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研究</w:t>
      </w:r>
      <w:r>
        <w:rPr>
          <w:rFonts w:hint="eastAsia" w:ascii="宋体" w:hAnsi="宋体" w:eastAsia="宋体" w:cs="宋体"/>
          <w:color w:val="000000" w:themeColor="text1"/>
          <w:sz w:val="24"/>
          <w:szCs w:val="24"/>
          <w:lang w:val="en-US" w:eastAsia="zh-CN"/>
          <w14:textFill>
            <w14:solidFill>
              <w14:schemeClr w14:val="tx1"/>
            </w14:solidFill>
          </w14:textFill>
        </w:rPr>
        <w:t>计划</w:t>
      </w:r>
      <w:r>
        <w:rPr>
          <w:rFonts w:hint="eastAsia" w:ascii="宋体" w:hAnsi="宋体" w:eastAsia="宋体" w:cs="宋体"/>
          <w:color w:val="000000" w:themeColor="text1"/>
          <w:sz w:val="24"/>
          <w:szCs w:val="24"/>
          <w14:textFill>
            <w14:solidFill>
              <w14:schemeClr w14:val="tx1"/>
            </w14:solidFill>
          </w14:textFill>
        </w:rPr>
        <w:t>及报价</w:t>
      </w:r>
    </w:p>
    <w:p w14:paraId="0C9FD094">
      <w:pPr>
        <w:pStyle w:val="3"/>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（一）项目成果</w:t>
      </w:r>
    </w:p>
    <w:p w14:paraId="76FB6BF2">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工作成果将包括：</w:t>
      </w:r>
    </w:p>
    <w:p w14:paraId="26690E97">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 报告初稿：根据已收集的相关材料及调研工作基础上，形成《中国工商银行苏州分行转型规划》报告初稿，具体内容包含“三、研究内容”所述所有内容。</w:t>
      </w:r>
    </w:p>
    <w:p w14:paraId="7609F9C4">
      <w:pPr>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2. 报告终稿：根据甲方意见，对《中国工商银行苏州分行转型规划》初稿进行修改完善，形成《中国工商银行苏州分行转型规划》终稿。</w:t>
      </w:r>
    </w:p>
    <w:p w14:paraId="0B18C8EA">
      <w:pPr>
        <w:pStyle w:val="3"/>
        <w:keepNext w:val="0"/>
        <w:keepLines w:val="0"/>
        <w:pageBreakBefore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（二）项目</w:t>
      </w:r>
      <w:r>
        <w:rPr>
          <w:rFonts w:hint="eastAsia" w:ascii="宋体" w:hAnsi="宋体" w:eastAsia="宋体" w:cs="宋体"/>
          <w:color w:val="000000" w:themeColor="text1"/>
          <w:sz w:val="24"/>
          <w:szCs w:val="24"/>
          <w:lang w:val="en-US" w:eastAsia="zh-CN"/>
          <w14:textFill>
            <w14:solidFill>
              <w14:schemeClr w14:val="tx1"/>
            </w14:solidFill>
          </w14:textFill>
        </w:rPr>
        <w:t>进度及预算</w:t>
      </w:r>
    </w:p>
    <w:p w14:paraId="0C310906">
      <w:pPr>
        <w:keepNext w:val="0"/>
        <w:keepLines w:val="0"/>
        <w:pageBreakBefore w:val="0"/>
        <w:widowControl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项目总预算：20万元</w:t>
      </w:r>
    </w:p>
    <w:p w14:paraId="4E896F4B">
      <w:pPr>
        <w:keepNext w:val="0"/>
        <w:keepLines w:val="0"/>
        <w:pageBreakBefore w:val="0"/>
        <w:widowControl w:val="0"/>
        <w:kinsoku/>
        <w:wordWrap/>
        <w:overflowPunct/>
        <w:topLinePunct w:val="0"/>
        <w:autoSpaceDE/>
        <w:autoSpaceDN/>
        <w:bidi w:val="0"/>
        <w:adjustRightInd/>
        <w:snapToGrid/>
        <w:spacing w:after="120" w:line="360" w:lineRule="auto"/>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项目总服务预计周期为</w:t>
      </w:r>
      <w:r>
        <w:rPr>
          <w:rFonts w:hint="eastAsia" w:ascii="宋体" w:hAnsi="宋体" w:eastAsia="宋体" w:cs="宋体"/>
          <w:color w:val="000000" w:themeColor="text1"/>
          <w:sz w:val="24"/>
          <w:szCs w:val="24"/>
          <w:lang w:val="en-US" w:eastAsia="zh-CN"/>
          <w14:textFill>
            <w14:solidFill>
              <w14:schemeClr w14:val="tx1"/>
            </w14:solidFill>
          </w14:textFill>
        </w:rPr>
        <w:t>10</w:t>
      </w:r>
      <w:r>
        <w:rPr>
          <w:rFonts w:hint="eastAsia" w:ascii="宋体" w:hAnsi="宋体" w:eastAsia="宋体" w:cs="宋体"/>
          <w:color w:val="000000" w:themeColor="text1"/>
          <w:sz w:val="24"/>
          <w:szCs w:val="24"/>
          <w14:textFill>
            <w14:solidFill>
              <w14:schemeClr w14:val="tx1"/>
            </w14:solidFill>
          </w14:textFill>
        </w:rPr>
        <w:t>周（</w:t>
      </w:r>
      <w:r>
        <w:rPr>
          <w:rFonts w:hint="eastAsia" w:ascii="宋体" w:hAnsi="宋体" w:eastAsia="宋体" w:cs="宋体"/>
          <w:color w:val="000000" w:themeColor="text1"/>
          <w:sz w:val="24"/>
          <w:szCs w:val="24"/>
          <w:lang w:val="en-US" w:eastAsia="zh-CN"/>
          <w14:textFill>
            <w14:solidFill>
              <w14:schemeClr w14:val="tx1"/>
            </w14:solidFill>
          </w14:textFill>
        </w:rPr>
        <w:t>2.5</w:t>
      </w:r>
      <w:r>
        <w:rPr>
          <w:rFonts w:hint="eastAsia" w:ascii="宋体" w:hAnsi="宋体" w:eastAsia="宋体" w:cs="宋体"/>
          <w:color w:val="000000" w:themeColor="text1"/>
          <w:sz w:val="24"/>
          <w:szCs w:val="24"/>
          <w14:textFill>
            <w14:solidFill>
              <w14:schemeClr w14:val="tx1"/>
            </w14:solidFill>
          </w14:textFill>
        </w:rPr>
        <w:t>个月），具体实施时间可视具体情况进行调整。项目实施阶段计划如下：</w:t>
      </w:r>
    </w:p>
    <w:p w14:paraId="22C25DE6">
      <w:pPr>
        <w:pStyle w:val="11"/>
        <w:keepNext w:val="0"/>
        <w:keepLines w:val="0"/>
        <w:pageBreakBefore w:val="0"/>
        <w:kinsoku/>
        <w:wordWrap/>
        <w:overflowPunct/>
        <w:topLinePunct w:val="0"/>
        <w:autoSpaceDE/>
        <w:autoSpaceDN/>
        <w:bidi w:val="0"/>
        <w:adjustRightInd/>
        <w:snapToGrid/>
        <w:spacing w:after="120" w:line="360" w:lineRule="auto"/>
        <w:ind w:left="0" w:leftChars="0" w:firstLine="480" w:firstLineChars="200"/>
        <w:jc w:val="center"/>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表格 </w:t>
      </w:r>
      <w:r>
        <w:rPr>
          <w:rFonts w:hint="eastAsia" w:ascii="宋体" w:hAnsi="宋体" w:eastAsia="宋体" w:cs="宋体"/>
          <w:color w:val="000000" w:themeColor="text1"/>
          <w:sz w:val="24"/>
          <w:szCs w:val="24"/>
          <w14:textFill>
            <w14:solidFill>
              <w14:schemeClr w14:val="tx1"/>
            </w14:solidFill>
          </w14:textFill>
        </w:rPr>
        <w:fldChar w:fldCharType="begin"/>
      </w:r>
      <w:r>
        <w:rPr>
          <w:rFonts w:hint="eastAsia" w:ascii="宋体" w:hAnsi="宋体" w:eastAsia="宋体" w:cs="宋体"/>
          <w:color w:val="000000" w:themeColor="text1"/>
          <w:sz w:val="24"/>
          <w:szCs w:val="24"/>
          <w14:textFill>
            <w14:solidFill>
              <w14:schemeClr w14:val="tx1"/>
            </w14:solidFill>
          </w14:textFill>
        </w:rPr>
        <w:instrText xml:space="preserve"> SEQ 表格 \* ARABIC </w:instrText>
      </w:r>
      <w:r>
        <w:rPr>
          <w:rFonts w:hint="eastAsia" w:ascii="宋体" w:hAnsi="宋体" w:eastAsia="宋体" w:cs="宋体"/>
          <w:color w:val="000000" w:themeColor="text1"/>
          <w:sz w:val="24"/>
          <w:szCs w:val="24"/>
          <w14:textFill>
            <w14:solidFill>
              <w14:schemeClr w14:val="tx1"/>
            </w14:solidFill>
          </w14:textFill>
        </w:rPr>
        <w:fldChar w:fldCharType="separate"/>
      </w:r>
      <w:r>
        <w:rPr>
          <w:rFonts w:hint="eastAsia" w:ascii="宋体" w:hAnsi="宋体" w:eastAsia="宋体" w:cs="宋体"/>
          <w:color w:val="000000" w:themeColor="text1"/>
          <w:sz w:val="24"/>
          <w:szCs w:val="24"/>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fldChar w:fldCharType="end"/>
      </w:r>
      <w:r>
        <w:rPr>
          <w:rFonts w:hint="eastAsia" w:ascii="宋体" w:hAnsi="宋体" w:eastAsia="宋体" w:cs="宋体"/>
          <w:color w:val="000000" w:themeColor="text1"/>
          <w:sz w:val="24"/>
          <w:szCs w:val="24"/>
          <w14:textFill>
            <w14:solidFill>
              <w14:schemeClr w14:val="tx1"/>
            </w14:solidFill>
          </w14:textFill>
        </w:rPr>
        <w:t xml:space="preserve"> 项目计划</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969"/>
        <w:gridCol w:w="2489"/>
      </w:tblGrid>
      <w:tr w14:paraId="4DEC2DB0">
        <w:tc>
          <w:tcPr>
            <w:tcW w:w="1838" w:type="dxa"/>
            <w:shd w:val="clear" w:color="auto" w:fill="A5C9EB" w:themeFill="text2" w:themeFillTint="40"/>
          </w:tcPr>
          <w:p w14:paraId="166256BE">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default" w:ascii="宋体" w:hAnsi="宋体" w:eastAsia="宋体" w:cs="宋体"/>
                <w:b/>
                <w:bCs w:val="0"/>
                <w:color w:val="000000" w:themeColor="text1"/>
                <w:sz w:val="24"/>
                <w:szCs w:val="24"/>
                <w:lang w:val="en-US" w:eastAsia="zh-CN"/>
                <w14:textFill>
                  <w14:solidFill>
                    <w14:schemeClr w14:val="tx1"/>
                  </w14:solidFill>
                </w14:textFill>
              </w:rPr>
            </w:pPr>
            <w:r>
              <w:rPr>
                <w:rFonts w:hint="eastAsia" w:ascii="宋体" w:hAnsi="宋体" w:eastAsia="宋体" w:cs="宋体"/>
                <w:b/>
                <w:bCs w:val="0"/>
                <w:color w:val="000000" w:themeColor="text1"/>
                <w:sz w:val="24"/>
                <w:szCs w:val="24"/>
                <w:lang w:val="en-US" w:eastAsia="zh-CN"/>
                <w14:textFill>
                  <w14:solidFill>
                    <w14:schemeClr w14:val="tx1"/>
                  </w14:solidFill>
                </w14:textFill>
              </w:rPr>
              <w:t>项目阶段</w:t>
            </w:r>
          </w:p>
        </w:tc>
        <w:tc>
          <w:tcPr>
            <w:tcW w:w="3969" w:type="dxa"/>
            <w:shd w:val="clear" w:color="auto" w:fill="A5C9EB" w:themeFill="text2" w:themeFillTint="40"/>
          </w:tcPr>
          <w:p w14:paraId="55A66E65">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bCs w:val="0"/>
                <w:color w:val="000000" w:themeColor="text1"/>
                <w:sz w:val="24"/>
                <w:szCs w:val="24"/>
                <w14:textFill>
                  <w14:solidFill>
                    <w14:schemeClr w14:val="tx1"/>
                  </w14:solidFill>
                </w14:textFill>
              </w:rPr>
            </w:pPr>
            <w:r>
              <w:rPr>
                <w:rFonts w:hint="eastAsia" w:ascii="宋体" w:hAnsi="宋体" w:eastAsia="宋体" w:cs="宋体"/>
                <w:b/>
                <w:bCs w:val="0"/>
                <w:color w:val="000000" w:themeColor="text1"/>
                <w:sz w:val="24"/>
                <w:szCs w:val="24"/>
                <w14:textFill>
                  <w14:solidFill>
                    <w14:schemeClr w14:val="tx1"/>
                  </w14:solidFill>
                </w14:textFill>
              </w:rPr>
              <w:t>说明</w:t>
            </w:r>
          </w:p>
        </w:tc>
        <w:tc>
          <w:tcPr>
            <w:tcW w:w="2489" w:type="dxa"/>
            <w:shd w:val="clear" w:color="auto" w:fill="A5C9EB" w:themeFill="text2" w:themeFillTint="40"/>
          </w:tcPr>
          <w:p w14:paraId="6CE5FB72">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bCs w:val="0"/>
                <w:color w:val="000000" w:themeColor="text1"/>
                <w:sz w:val="24"/>
                <w:szCs w:val="24"/>
                <w14:textFill>
                  <w14:solidFill>
                    <w14:schemeClr w14:val="tx1"/>
                  </w14:solidFill>
                </w14:textFill>
              </w:rPr>
            </w:pPr>
            <w:r>
              <w:rPr>
                <w:rFonts w:hint="eastAsia" w:ascii="宋体" w:hAnsi="宋体" w:eastAsia="宋体" w:cs="宋体"/>
                <w:b/>
                <w:bCs w:val="0"/>
                <w:color w:val="000000" w:themeColor="text1"/>
                <w:sz w:val="24"/>
                <w:szCs w:val="24"/>
                <w14:textFill>
                  <w14:solidFill>
                    <w14:schemeClr w14:val="tx1"/>
                  </w14:solidFill>
                </w14:textFill>
              </w:rPr>
              <w:t>时间计划</w:t>
            </w:r>
          </w:p>
        </w:tc>
      </w:tr>
      <w:tr w14:paraId="1DF4D92E">
        <w:tc>
          <w:tcPr>
            <w:tcW w:w="1838" w:type="dxa"/>
          </w:tcPr>
          <w:p w14:paraId="4C95DFAD">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14:textFill>
                  <w14:solidFill>
                    <w14:schemeClr w14:val="tx1"/>
                  </w14:solidFill>
                </w14:textFill>
              </w:rPr>
            </w:pPr>
            <w:r>
              <w:rPr>
                <w:rFonts w:hint="eastAsia" w:ascii="宋体" w:hAnsi="宋体" w:eastAsia="宋体" w:cs="宋体"/>
                <w:b w:val="0"/>
                <w:bCs/>
                <w:color w:val="000000" w:themeColor="text1"/>
                <w:sz w:val="24"/>
                <w:szCs w:val="24"/>
                <w14:textFill>
                  <w14:solidFill>
                    <w14:schemeClr w14:val="tx1"/>
                  </w14:solidFill>
                </w14:textFill>
              </w:rPr>
              <w:t>项目启动</w:t>
            </w:r>
          </w:p>
        </w:tc>
        <w:tc>
          <w:tcPr>
            <w:tcW w:w="3969" w:type="dxa"/>
          </w:tcPr>
          <w:p w14:paraId="2CB2D800">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14:textFill>
                  <w14:solidFill>
                    <w14:schemeClr w14:val="tx1"/>
                  </w14:solidFill>
                </w14:textFill>
              </w:rPr>
            </w:pPr>
            <w:r>
              <w:rPr>
                <w:rFonts w:hint="eastAsia" w:ascii="宋体" w:hAnsi="宋体" w:eastAsia="宋体" w:cs="宋体"/>
                <w:b w:val="0"/>
                <w:bCs/>
                <w:color w:val="000000" w:themeColor="text1"/>
                <w:sz w:val="24"/>
                <w:szCs w:val="24"/>
                <w14:textFill>
                  <w14:solidFill>
                    <w14:schemeClr w14:val="tx1"/>
                  </w14:solidFill>
                </w14:textFill>
              </w:rPr>
              <w:t>项目组织及资源准备</w:t>
            </w:r>
          </w:p>
        </w:tc>
        <w:tc>
          <w:tcPr>
            <w:tcW w:w="2489" w:type="dxa"/>
          </w:tcPr>
          <w:p w14:paraId="64153DE8">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lang w:val="en-US" w:eastAsia="zh-CN"/>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T+3</w:t>
            </w:r>
          </w:p>
        </w:tc>
      </w:tr>
      <w:tr w14:paraId="01B5A4B0">
        <w:tc>
          <w:tcPr>
            <w:tcW w:w="1838" w:type="dxa"/>
          </w:tcPr>
          <w:p w14:paraId="1C25A23F">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14:textFill>
                  <w14:solidFill>
                    <w14:schemeClr w14:val="tx1"/>
                  </w14:solidFill>
                </w14:textFill>
              </w:rPr>
            </w:pPr>
            <w:r>
              <w:rPr>
                <w:rFonts w:hint="eastAsia" w:ascii="宋体" w:hAnsi="宋体" w:eastAsia="宋体" w:cs="宋体"/>
                <w:b w:val="0"/>
                <w:bCs/>
                <w:color w:val="000000" w:themeColor="text1"/>
                <w:sz w:val="24"/>
                <w:szCs w:val="24"/>
                <w14:textFill>
                  <w14:solidFill>
                    <w14:schemeClr w14:val="tx1"/>
                  </w14:solidFill>
                </w14:textFill>
              </w:rPr>
              <w:t>资料收集与调研</w:t>
            </w:r>
          </w:p>
        </w:tc>
        <w:tc>
          <w:tcPr>
            <w:tcW w:w="3969" w:type="dxa"/>
          </w:tcPr>
          <w:p w14:paraId="74B9ED33">
            <w:pPr>
              <w:pStyle w:val="3"/>
              <w:keepNext w:val="0"/>
              <w:keepLines w:val="0"/>
              <w:pageBreakBefore w:val="0"/>
              <w:widowControl w:val="0"/>
              <w:numPr>
                <w:ilvl w:val="0"/>
                <w:numId w:val="0"/>
              </w:numPr>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lang w:val="en-US" w:eastAsia="zh-Hans"/>
                <w14:textFill>
                  <w14:solidFill>
                    <w14:schemeClr w14:val="tx1"/>
                  </w14:solidFill>
                </w14:textFill>
              </w:rPr>
            </w:pPr>
            <w:r>
              <w:rPr>
                <w:rFonts w:hint="eastAsia" w:ascii="宋体" w:hAnsi="宋体" w:eastAsia="宋体" w:cs="宋体"/>
                <w:b w:val="0"/>
                <w:bCs/>
                <w:color w:val="000000" w:themeColor="text1"/>
                <w:sz w:val="24"/>
                <w:szCs w:val="24"/>
                <w14:textFill>
                  <w14:solidFill>
                    <w14:schemeClr w14:val="tx1"/>
                  </w14:solidFill>
                </w14:textFill>
              </w:rPr>
              <w:t>结合桌面研究与实地调研，</w:t>
            </w:r>
            <w:r>
              <w:rPr>
                <w:rFonts w:hint="eastAsia" w:ascii="宋体" w:hAnsi="宋体" w:eastAsia="宋体" w:cs="宋体"/>
                <w:b w:val="0"/>
                <w:bCs/>
                <w:color w:val="000000" w:themeColor="text1"/>
                <w:sz w:val="24"/>
                <w:szCs w:val="24"/>
                <w:lang w:val="en-US" w:eastAsia="zh-Hans"/>
                <w14:textFill>
                  <w14:solidFill>
                    <w14:schemeClr w14:val="tx1"/>
                  </w14:solidFill>
                </w14:textFill>
              </w:rPr>
              <w:t>对</w:t>
            </w:r>
            <w:r>
              <w:rPr>
                <w:rFonts w:hint="eastAsia" w:ascii="宋体" w:hAnsi="宋体" w:eastAsia="宋体" w:cs="宋体"/>
                <w:b w:val="0"/>
                <w:bCs/>
                <w:color w:val="000000" w:themeColor="text1"/>
                <w:sz w:val="24"/>
                <w:szCs w:val="24"/>
                <w:lang w:val="en-US" w:eastAsia="zh-CN"/>
                <w14:textFill>
                  <w14:solidFill>
                    <w14:schemeClr w14:val="tx1"/>
                  </w14:solidFill>
                </w14:textFill>
              </w:rPr>
              <w:t>工行苏州分行</w:t>
            </w:r>
            <w:r>
              <w:rPr>
                <w:rFonts w:hint="eastAsia" w:ascii="宋体" w:hAnsi="宋体" w:eastAsia="宋体" w:cs="宋体"/>
                <w:b w:val="0"/>
                <w:bCs/>
                <w:color w:val="000000" w:themeColor="text1"/>
                <w:sz w:val="24"/>
                <w:szCs w:val="24"/>
                <w:lang w:val="en-US" w:eastAsia="zh-Hans"/>
                <w14:textFill>
                  <w14:solidFill>
                    <w14:schemeClr w14:val="tx1"/>
                  </w14:solidFill>
                </w14:textFill>
              </w:rPr>
              <w:t>低碳转型基础条件进行分析</w:t>
            </w:r>
          </w:p>
          <w:p w14:paraId="1B4F363E">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14:textFill>
                  <w14:solidFill>
                    <w14:schemeClr w14:val="tx1"/>
                  </w14:solidFill>
                </w14:textFill>
              </w:rPr>
            </w:pPr>
          </w:p>
        </w:tc>
        <w:tc>
          <w:tcPr>
            <w:tcW w:w="2489" w:type="dxa"/>
          </w:tcPr>
          <w:p w14:paraId="7E89A616">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lang w:val="en-US" w:eastAsia="zh-CN"/>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T+14</w:t>
            </w:r>
          </w:p>
        </w:tc>
      </w:tr>
      <w:tr w14:paraId="6A9CF7E6">
        <w:tc>
          <w:tcPr>
            <w:tcW w:w="1838" w:type="dxa"/>
          </w:tcPr>
          <w:p w14:paraId="2D6E144C">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初稿</w:t>
            </w:r>
            <w:r>
              <w:rPr>
                <w:rFonts w:hint="eastAsia" w:ascii="宋体" w:hAnsi="宋体" w:eastAsia="宋体" w:cs="宋体"/>
                <w:b w:val="0"/>
                <w:bCs/>
                <w:color w:val="000000" w:themeColor="text1"/>
                <w:sz w:val="24"/>
                <w:szCs w:val="24"/>
                <w14:textFill>
                  <w14:solidFill>
                    <w14:schemeClr w14:val="tx1"/>
                  </w14:solidFill>
                </w14:textFill>
              </w:rPr>
              <w:t>撰写</w:t>
            </w:r>
          </w:p>
        </w:tc>
        <w:tc>
          <w:tcPr>
            <w:tcW w:w="3969" w:type="dxa"/>
          </w:tcPr>
          <w:p w14:paraId="730D69B1">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lang w:eastAsia="zh-CN"/>
                <w14:textFill>
                  <w14:solidFill>
                    <w14:schemeClr w14:val="tx1"/>
                  </w14:solidFill>
                </w14:textFill>
              </w:rPr>
            </w:pPr>
            <w:r>
              <w:rPr>
                <w:rFonts w:hint="eastAsia" w:ascii="宋体" w:hAnsi="宋体" w:eastAsia="宋体" w:cs="宋体"/>
                <w:b w:val="0"/>
                <w:bCs/>
                <w:color w:val="000000" w:themeColor="text1"/>
                <w:sz w:val="24"/>
                <w:szCs w:val="24"/>
                <w14:textFill>
                  <w14:solidFill>
                    <w14:schemeClr w14:val="tx1"/>
                  </w14:solidFill>
                </w14:textFill>
              </w:rPr>
              <w:t>基于前期研究，撰写 《中国工商银行苏州分行转型规划》</w:t>
            </w:r>
            <w:r>
              <w:rPr>
                <w:rFonts w:hint="eastAsia" w:ascii="宋体" w:hAnsi="宋体" w:eastAsia="宋体" w:cs="宋体"/>
                <w:b w:val="0"/>
                <w:bCs/>
                <w:color w:val="000000" w:themeColor="text1"/>
                <w:sz w:val="24"/>
                <w:szCs w:val="24"/>
                <w:lang w:val="en-US" w:eastAsia="zh-CN"/>
                <w14:textFill>
                  <w14:solidFill>
                    <w14:schemeClr w14:val="tx1"/>
                  </w14:solidFill>
                </w14:textFill>
              </w:rPr>
              <w:t>初稿</w:t>
            </w:r>
          </w:p>
        </w:tc>
        <w:tc>
          <w:tcPr>
            <w:tcW w:w="2489" w:type="dxa"/>
          </w:tcPr>
          <w:p w14:paraId="649CB372">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lang w:val="en-US" w:eastAsia="zh-CN"/>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T+50</w:t>
            </w:r>
          </w:p>
        </w:tc>
      </w:tr>
      <w:tr w14:paraId="05A74C20">
        <w:tc>
          <w:tcPr>
            <w:tcW w:w="1838" w:type="dxa"/>
          </w:tcPr>
          <w:p w14:paraId="640002E1">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lang w:val="en-US" w:eastAsia="zh-CN"/>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终稿撰写</w:t>
            </w:r>
          </w:p>
        </w:tc>
        <w:tc>
          <w:tcPr>
            <w:tcW w:w="3969" w:type="dxa"/>
          </w:tcPr>
          <w:p w14:paraId="6F7B6B1F">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lang w:val="en-US" w:eastAsia="zh-CN"/>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根据反馈，修改完善</w:t>
            </w:r>
            <w:r>
              <w:rPr>
                <w:rFonts w:hint="eastAsia" w:ascii="宋体" w:hAnsi="宋体" w:eastAsia="宋体" w:cs="宋体"/>
                <w:b w:val="0"/>
                <w:bCs/>
                <w:color w:val="000000" w:themeColor="text1"/>
                <w:sz w:val="24"/>
                <w:szCs w:val="24"/>
                <w14:textFill>
                  <w14:solidFill>
                    <w14:schemeClr w14:val="tx1"/>
                  </w14:solidFill>
                </w14:textFill>
              </w:rPr>
              <w:t>《中国工商银行苏州分行转型规划》</w:t>
            </w:r>
            <w:r>
              <w:rPr>
                <w:rFonts w:hint="eastAsia" w:ascii="宋体" w:hAnsi="宋体" w:eastAsia="宋体" w:cs="宋体"/>
                <w:b w:val="0"/>
                <w:bCs/>
                <w:color w:val="000000" w:themeColor="text1"/>
                <w:sz w:val="24"/>
                <w:szCs w:val="24"/>
                <w:lang w:val="en-US" w:eastAsia="zh-CN"/>
                <w14:textFill>
                  <w14:solidFill>
                    <w14:schemeClr w14:val="tx1"/>
                  </w14:solidFill>
                </w14:textFill>
              </w:rPr>
              <w:t>终稿</w:t>
            </w:r>
          </w:p>
        </w:tc>
        <w:tc>
          <w:tcPr>
            <w:tcW w:w="2489" w:type="dxa"/>
          </w:tcPr>
          <w:p w14:paraId="6CC967FD">
            <w:pPr>
              <w:keepNext w:val="0"/>
              <w:keepLines w:val="0"/>
              <w:pageBreakBefore w:val="0"/>
              <w:widowControl w:val="0"/>
              <w:kinsoku/>
              <w:wordWrap/>
              <w:overflowPunct/>
              <w:topLinePunct w:val="0"/>
              <w:autoSpaceDE/>
              <w:autoSpaceDN/>
              <w:bidi w:val="0"/>
              <w:adjustRightInd/>
              <w:snapToGrid/>
              <w:spacing w:after="120" w:line="360" w:lineRule="auto"/>
              <w:ind w:left="0" w:leftChars="0" w:firstLine="0" w:firstLineChars="0"/>
              <w:textAlignment w:val="auto"/>
              <w:rPr>
                <w:rFonts w:hint="eastAsia" w:ascii="宋体" w:hAnsi="宋体" w:eastAsia="宋体" w:cs="宋体"/>
                <w:b w:val="0"/>
                <w:bCs/>
                <w:color w:val="000000" w:themeColor="text1"/>
                <w:sz w:val="24"/>
                <w:szCs w:val="24"/>
                <w:lang w:val="en-US" w:eastAsia="zh-CN"/>
                <w14:textFill>
                  <w14:solidFill>
                    <w14:schemeClr w14:val="tx1"/>
                  </w14:solidFill>
                </w14:textFill>
              </w:rPr>
            </w:pPr>
            <w:r>
              <w:rPr>
                <w:rFonts w:hint="eastAsia" w:ascii="宋体" w:hAnsi="宋体" w:eastAsia="宋体" w:cs="宋体"/>
                <w:b w:val="0"/>
                <w:bCs/>
                <w:color w:val="000000" w:themeColor="text1"/>
                <w:sz w:val="24"/>
                <w:szCs w:val="24"/>
                <w:lang w:val="en-US" w:eastAsia="zh-CN"/>
                <w14:textFill>
                  <w14:solidFill>
                    <w14:schemeClr w14:val="tx1"/>
                  </w14:solidFill>
                </w14:textFill>
              </w:rPr>
              <w:t>T+75</w:t>
            </w:r>
          </w:p>
        </w:tc>
      </w:tr>
    </w:tbl>
    <w:p w14:paraId="6A7415D4">
      <w:pPr>
        <w:rPr>
          <w:rFonts w:hint="eastAsia" w:ascii="宋体" w:hAnsi="宋体" w:eastAsia="宋体" w:cs="宋体"/>
          <w:color w:val="000000" w:themeColor="text1"/>
          <w:sz w:val="24"/>
          <w:szCs w:val="24"/>
          <w14:textFill>
            <w14:solidFill>
              <w14:schemeClr w14:val="tx1"/>
            </w14:solidFill>
          </w14:textFill>
        </w:rPr>
      </w:pPr>
    </w:p>
    <w:p w14:paraId="09FDFADA">
      <w:pPr>
        <w:rPr>
          <w:rFonts w:hint="eastAsia" w:ascii="宋体" w:hAnsi="宋体" w:eastAsia="宋体" w:cs="宋体"/>
          <w:color w:val="000000" w:themeColor="text1"/>
          <w:sz w:val="24"/>
          <w:szCs w:val="24"/>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AC5CFB"/>
    <w:multiLevelType w:val="multilevel"/>
    <w:tmpl w:val="04AC5CFB"/>
    <w:lvl w:ilvl="0" w:tentative="0">
      <w:start w:val="1"/>
      <w:numFmt w:val="bullet"/>
      <w:lvlText w:val=""/>
      <w:lvlJc w:val="left"/>
      <w:pPr>
        <w:ind w:left="860" w:hanging="440"/>
      </w:pPr>
      <w:rPr>
        <w:rFonts w:hint="default" w:ascii="Wingdings" w:hAnsi="Wingdings"/>
        <w:sz w:val="18"/>
      </w:rPr>
    </w:lvl>
    <w:lvl w:ilvl="1" w:tentative="0">
      <w:start w:val="1"/>
      <w:numFmt w:val="bullet"/>
      <w:lvlText w:val="•"/>
      <w:lvlJc w:val="left"/>
      <w:pPr>
        <w:ind w:left="1265" w:hanging="405"/>
      </w:pPr>
      <w:rPr>
        <w:rFonts w:hint="eastAsia" w:ascii="等线" w:hAnsi="等线" w:eastAsia="等线" w:cstheme="minorBidi"/>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1">
    <w:nsid w:val="1E8208CA"/>
    <w:multiLevelType w:val="multilevel"/>
    <w:tmpl w:val="1E8208CA"/>
    <w:lvl w:ilvl="0" w:tentative="0">
      <w:start w:val="1"/>
      <w:numFmt w:val="japaneseCounting"/>
      <w:lvlText w:val="%1、"/>
      <w:lvlJc w:val="left"/>
      <w:pPr>
        <w:ind w:left="420" w:hanging="42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35276160"/>
    <w:multiLevelType w:val="multilevel"/>
    <w:tmpl w:val="35276160"/>
    <w:lvl w:ilvl="0" w:tentative="0">
      <w:start w:val="1"/>
      <w:numFmt w:val="bullet"/>
      <w:lvlText w:val=""/>
      <w:lvlJc w:val="left"/>
      <w:pPr>
        <w:ind w:left="1280" w:hanging="440"/>
      </w:pPr>
      <w:rPr>
        <w:rFonts w:hint="default" w:ascii="Wingdings" w:hAnsi="Wingdings"/>
      </w:rPr>
    </w:lvl>
    <w:lvl w:ilvl="1" w:tentative="0">
      <w:start w:val="1"/>
      <w:numFmt w:val="bullet"/>
      <w:lvlText w:val=""/>
      <w:lvlJc w:val="left"/>
      <w:pPr>
        <w:ind w:left="1720" w:hanging="440"/>
      </w:pPr>
      <w:rPr>
        <w:rFonts w:hint="default" w:ascii="Wingdings" w:hAnsi="Wingdings"/>
      </w:rPr>
    </w:lvl>
    <w:lvl w:ilvl="2" w:tentative="0">
      <w:start w:val="1"/>
      <w:numFmt w:val="bullet"/>
      <w:lvlText w:val=""/>
      <w:lvlJc w:val="left"/>
      <w:pPr>
        <w:ind w:left="2160" w:hanging="440"/>
      </w:pPr>
      <w:rPr>
        <w:rFonts w:hint="default" w:ascii="Wingdings" w:hAnsi="Wingdings"/>
      </w:rPr>
    </w:lvl>
    <w:lvl w:ilvl="3" w:tentative="0">
      <w:start w:val="1"/>
      <w:numFmt w:val="bullet"/>
      <w:lvlText w:val=""/>
      <w:lvlJc w:val="left"/>
      <w:pPr>
        <w:ind w:left="2600" w:hanging="440"/>
      </w:pPr>
      <w:rPr>
        <w:rFonts w:hint="default" w:ascii="Wingdings" w:hAnsi="Wingdings"/>
      </w:rPr>
    </w:lvl>
    <w:lvl w:ilvl="4" w:tentative="0">
      <w:start w:val="1"/>
      <w:numFmt w:val="bullet"/>
      <w:lvlText w:val=""/>
      <w:lvlJc w:val="left"/>
      <w:pPr>
        <w:ind w:left="3040" w:hanging="440"/>
      </w:pPr>
      <w:rPr>
        <w:rFonts w:hint="default" w:ascii="Wingdings" w:hAnsi="Wingdings"/>
      </w:rPr>
    </w:lvl>
    <w:lvl w:ilvl="5" w:tentative="0">
      <w:start w:val="1"/>
      <w:numFmt w:val="bullet"/>
      <w:lvlText w:val=""/>
      <w:lvlJc w:val="left"/>
      <w:pPr>
        <w:ind w:left="3480" w:hanging="440"/>
      </w:pPr>
      <w:rPr>
        <w:rFonts w:hint="default" w:ascii="Wingdings" w:hAnsi="Wingdings"/>
      </w:rPr>
    </w:lvl>
    <w:lvl w:ilvl="6" w:tentative="0">
      <w:start w:val="1"/>
      <w:numFmt w:val="bullet"/>
      <w:lvlText w:val=""/>
      <w:lvlJc w:val="left"/>
      <w:pPr>
        <w:ind w:left="3920" w:hanging="440"/>
      </w:pPr>
      <w:rPr>
        <w:rFonts w:hint="default" w:ascii="Wingdings" w:hAnsi="Wingdings"/>
      </w:rPr>
    </w:lvl>
    <w:lvl w:ilvl="7" w:tentative="0">
      <w:start w:val="1"/>
      <w:numFmt w:val="bullet"/>
      <w:lvlText w:val=""/>
      <w:lvlJc w:val="left"/>
      <w:pPr>
        <w:ind w:left="4360" w:hanging="440"/>
      </w:pPr>
      <w:rPr>
        <w:rFonts w:hint="default" w:ascii="Wingdings" w:hAnsi="Wingdings"/>
      </w:rPr>
    </w:lvl>
    <w:lvl w:ilvl="8" w:tentative="0">
      <w:start w:val="1"/>
      <w:numFmt w:val="bullet"/>
      <w:lvlText w:val=""/>
      <w:lvlJc w:val="left"/>
      <w:pPr>
        <w:ind w:left="4800" w:hanging="440"/>
      </w:pPr>
      <w:rPr>
        <w:rFonts w:hint="default" w:ascii="Wingdings" w:hAnsi="Wingdings"/>
      </w:rPr>
    </w:lvl>
  </w:abstractNum>
  <w:abstractNum w:abstractNumId="3">
    <w:nsid w:val="36231192"/>
    <w:multiLevelType w:val="multilevel"/>
    <w:tmpl w:val="36231192"/>
    <w:lvl w:ilvl="0" w:tentative="0">
      <w:start w:val="1"/>
      <w:numFmt w:val="bullet"/>
      <w:lvlText w:val=""/>
      <w:lvlJc w:val="left"/>
      <w:pPr>
        <w:ind w:left="860" w:hanging="440"/>
      </w:pPr>
      <w:rPr>
        <w:rFonts w:hint="default" w:ascii="Wingdings" w:hAnsi="Wingdings"/>
        <w:b w:val="0"/>
        <w:i w:val="0"/>
        <w:strike w:val="0"/>
        <w:dstrike w:val="0"/>
        <w:color w:val="404040"/>
        <w:sz w:val="18"/>
        <w:szCs w:val="20"/>
        <w:u w:val="none" w:color="000000"/>
        <w:vertAlign w:val="baseline"/>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4">
    <w:nsid w:val="5E703952"/>
    <w:multiLevelType w:val="multilevel"/>
    <w:tmpl w:val="5E703952"/>
    <w:lvl w:ilvl="0" w:tentative="0">
      <w:start w:val="1"/>
      <w:numFmt w:val="bullet"/>
      <w:lvlText w:val=""/>
      <w:lvlJc w:val="left"/>
      <w:pPr>
        <w:ind w:left="860" w:hanging="440"/>
      </w:pPr>
      <w:rPr>
        <w:rFonts w:hint="default" w:ascii="Wingdings" w:hAnsi="Wingdings"/>
        <w:sz w:val="18"/>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DAD"/>
    <w:rsid w:val="0000005F"/>
    <w:rsid w:val="000000B6"/>
    <w:rsid w:val="0001244F"/>
    <w:rsid w:val="00012EEE"/>
    <w:rsid w:val="00015815"/>
    <w:rsid w:val="00016E1E"/>
    <w:rsid w:val="000175A9"/>
    <w:rsid w:val="000179E8"/>
    <w:rsid w:val="00020672"/>
    <w:rsid w:val="00021861"/>
    <w:rsid w:val="00022C42"/>
    <w:rsid w:val="000234C3"/>
    <w:rsid w:val="00025983"/>
    <w:rsid w:val="00031CCB"/>
    <w:rsid w:val="00036654"/>
    <w:rsid w:val="00042FEC"/>
    <w:rsid w:val="00050A36"/>
    <w:rsid w:val="00052B3F"/>
    <w:rsid w:val="00054429"/>
    <w:rsid w:val="00054455"/>
    <w:rsid w:val="00055306"/>
    <w:rsid w:val="00056C95"/>
    <w:rsid w:val="00056D99"/>
    <w:rsid w:val="00060D7D"/>
    <w:rsid w:val="0006479C"/>
    <w:rsid w:val="00070771"/>
    <w:rsid w:val="000710F9"/>
    <w:rsid w:val="000730A7"/>
    <w:rsid w:val="000752F2"/>
    <w:rsid w:val="00085DC6"/>
    <w:rsid w:val="00090F94"/>
    <w:rsid w:val="000930A4"/>
    <w:rsid w:val="00093A83"/>
    <w:rsid w:val="0009739A"/>
    <w:rsid w:val="00097E30"/>
    <w:rsid w:val="000A062A"/>
    <w:rsid w:val="000A118B"/>
    <w:rsid w:val="000A1B86"/>
    <w:rsid w:val="000A1F16"/>
    <w:rsid w:val="000A74A3"/>
    <w:rsid w:val="000B57CC"/>
    <w:rsid w:val="000C4A97"/>
    <w:rsid w:val="000C4D4D"/>
    <w:rsid w:val="000C7371"/>
    <w:rsid w:val="000C7EDA"/>
    <w:rsid w:val="000D07A9"/>
    <w:rsid w:val="000D19ED"/>
    <w:rsid w:val="000D1C81"/>
    <w:rsid w:val="000D28AD"/>
    <w:rsid w:val="000D6A76"/>
    <w:rsid w:val="000D765B"/>
    <w:rsid w:val="000E75C8"/>
    <w:rsid w:val="000F1C6A"/>
    <w:rsid w:val="000F26C6"/>
    <w:rsid w:val="00101881"/>
    <w:rsid w:val="001022AF"/>
    <w:rsid w:val="00103173"/>
    <w:rsid w:val="00103D3E"/>
    <w:rsid w:val="001079A2"/>
    <w:rsid w:val="00112F89"/>
    <w:rsid w:val="00113D19"/>
    <w:rsid w:val="001147FE"/>
    <w:rsid w:val="00114BA5"/>
    <w:rsid w:val="0011513E"/>
    <w:rsid w:val="00117BA8"/>
    <w:rsid w:val="00121FCF"/>
    <w:rsid w:val="00122D2E"/>
    <w:rsid w:val="0012317B"/>
    <w:rsid w:val="00126621"/>
    <w:rsid w:val="00136276"/>
    <w:rsid w:val="001371BB"/>
    <w:rsid w:val="00137456"/>
    <w:rsid w:val="00143DFB"/>
    <w:rsid w:val="00145007"/>
    <w:rsid w:val="001463F2"/>
    <w:rsid w:val="00147195"/>
    <w:rsid w:val="00147334"/>
    <w:rsid w:val="00150F3E"/>
    <w:rsid w:val="00153FC7"/>
    <w:rsid w:val="00154574"/>
    <w:rsid w:val="0015501A"/>
    <w:rsid w:val="001551EE"/>
    <w:rsid w:val="001555D9"/>
    <w:rsid w:val="00156FEE"/>
    <w:rsid w:val="001572D4"/>
    <w:rsid w:val="00162DBB"/>
    <w:rsid w:val="00166051"/>
    <w:rsid w:val="001745C5"/>
    <w:rsid w:val="00175DFD"/>
    <w:rsid w:val="00182820"/>
    <w:rsid w:val="00182F3C"/>
    <w:rsid w:val="00183B5F"/>
    <w:rsid w:val="001851EE"/>
    <w:rsid w:val="001932C2"/>
    <w:rsid w:val="001936B6"/>
    <w:rsid w:val="001952AF"/>
    <w:rsid w:val="001A6DC5"/>
    <w:rsid w:val="001A729A"/>
    <w:rsid w:val="001A7E87"/>
    <w:rsid w:val="001B2649"/>
    <w:rsid w:val="001B5886"/>
    <w:rsid w:val="001B6876"/>
    <w:rsid w:val="001B6E31"/>
    <w:rsid w:val="001C513A"/>
    <w:rsid w:val="001C725C"/>
    <w:rsid w:val="001D28D2"/>
    <w:rsid w:val="001D35D1"/>
    <w:rsid w:val="001D62E0"/>
    <w:rsid w:val="001D6D76"/>
    <w:rsid w:val="001D7792"/>
    <w:rsid w:val="001E0D3E"/>
    <w:rsid w:val="001E2800"/>
    <w:rsid w:val="001E38F0"/>
    <w:rsid w:val="001E6030"/>
    <w:rsid w:val="001E798F"/>
    <w:rsid w:val="001F0105"/>
    <w:rsid w:val="001F076A"/>
    <w:rsid w:val="001F1B2E"/>
    <w:rsid w:val="001F1EAC"/>
    <w:rsid w:val="002034A3"/>
    <w:rsid w:val="00204DE9"/>
    <w:rsid w:val="00205E4D"/>
    <w:rsid w:val="0021389D"/>
    <w:rsid w:val="002139D5"/>
    <w:rsid w:val="0021487F"/>
    <w:rsid w:val="00220E40"/>
    <w:rsid w:val="002235E9"/>
    <w:rsid w:val="00227185"/>
    <w:rsid w:val="002336D7"/>
    <w:rsid w:val="002345B5"/>
    <w:rsid w:val="00234A45"/>
    <w:rsid w:val="00234D48"/>
    <w:rsid w:val="00235F9E"/>
    <w:rsid w:val="002377E5"/>
    <w:rsid w:val="00240B8A"/>
    <w:rsid w:val="00242AC5"/>
    <w:rsid w:val="00244544"/>
    <w:rsid w:val="00244B6D"/>
    <w:rsid w:val="002527B1"/>
    <w:rsid w:val="00254178"/>
    <w:rsid w:val="0026180E"/>
    <w:rsid w:val="002618B2"/>
    <w:rsid w:val="0026263B"/>
    <w:rsid w:val="0026388E"/>
    <w:rsid w:val="0026470C"/>
    <w:rsid w:val="002673BA"/>
    <w:rsid w:val="0027006F"/>
    <w:rsid w:val="00271E2D"/>
    <w:rsid w:val="00272FE3"/>
    <w:rsid w:val="00273C68"/>
    <w:rsid w:val="002762C4"/>
    <w:rsid w:val="00277312"/>
    <w:rsid w:val="002821EA"/>
    <w:rsid w:val="00282617"/>
    <w:rsid w:val="00283277"/>
    <w:rsid w:val="00286B87"/>
    <w:rsid w:val="002936F3"/>
    <w:rsid w:val="002A3DA0"/>
    <w:rsid w:val="002A526E"/>
    <w:rsid w:val="002A6294"/>
    <w:rsid w:val="002B0310"/>
    <w:rsid w:val="002B0A87"/>
    <w:rsid w:val="002B300C"/>
    <w:rsid w:val="002B3287"/>
    <w:rsid w:val="002B32F4"/>
    <w:rsid w:val="002B5CBD"/>
    <w:rsid w:val="002C0EA1"/>
    <w:rsid w:val="002C1069"/>
    <w:rsid w:val="002C1B2D"/>
    <w:rsid w:val="002C2C3A"/>
    <w:rsid w:val="002C34BF"/>
    <w:rsid w:val="002D110B"/>
    <w:rsid w:val="002D778C"/>
    <w:rsid w:val="002E1E4D"/>
    <w:rsid w:val="002E3554"/>
    <w:rsid w:val="002E445E"/>
    <w:rsid w:val="002E4BFD"/>
    <w:rsid w:val="002E57D5"/>
    <w:rsid w:val="002E6FB8"/>
    <w:rsid w:val="002E7B91"/>
    <w:rsid w:val="002F6C80"/>
    <w:rsid w:val="002F7096"/>
    <w:rsid w:val="003013D6"/>
    <w:rsid w:val="00303400"/>
    <w:rsid w:val="0030417D"/>
    <w:rsid w:val="003054D8"/>
    <w:rsid w:val="00320553"/>
    <w:rsid w:val="00321381"/>
    <w:rsid w:val="00323CA2"/>
    <w:rsid w:val="003251D6"/>
    <w:rsid w:val="00330FFD"/>
    <w:rsid w:val="00331798"/>
    <w:rsid w:val="00332BD6"/>
    <w:rsid w:val="0033305F"/>
    <w:rsid w:val="00333840"/>
    <w:rsid w:val="0033384A"/>
    <w:rsid w:val="00335857"/>
    <w:rsid w:val="00335BC0"/>
    <w:rsid w:val="00336F9C"/>
    <w:rsid w:val="00337384"/>
    <w:rsid w:val="00337E4E"/>
    <w:rsid w:val="00341C31"/>
    <w:rsid w:val="0034275A"/>
    <w:rsid w:val="0034313B"/>
    <w:rsid w:val="003437F7"/>
    <w:rsid w:val="00344269"/>
    <w:rsid w:val="00346DF7"/>
    <w:rsid w:val="0034777E"/>
    <w:rsid w:val="0035227A"/>
    <w:rsid w:val="003527D8"/>
    <w:rsid w:val="00360227"/>
    <w:rsid w:val="003614F9"/>
    <w:rsid w:val="0036383D"/>
    <w:rsid w:val="003702AD"/>
    <w:rsid w:val="00371D4D"/>
    <w:rsid w:val="003754A9"/>
    <w:rsid w:val="00375F69"/>
    <w:rsid w:val="0038484D"/>
    <w:rsid w:val="00392E24"/>
    <w:rsid w:val="003933C2"/>
    <w:rsid w:val="00393ACB"/>
    <w:rsid w:val="0039564D"/>
    <w:rsid w:val="003967F5"/>
    <w:rsid w:val="003A12BA"/>
    <w:rsid w:val="003A16E0"/>
    <w:rsid w:val="003A1C8E"/>
    <w:rsid w:val="003A28F0"/>
    <w:rsid w:val="003A3D40"/>
    <w:rsid w:val="003A46D3"/>
    <w:rsid w:val="003A531B"/>
    <w:rsid w:val="003A6DED"/>
    <w:rsid w:val="003B4DF1"/>
    <w:rsid w:val="003B51B7"/>
    <w:rsid w:val="003C2AFF"/>
    <w:rsid w:val="003C340B"/>
    <w:rsid w:val="003C6DDF"/>
    <w:rsid w:val="003C7793"/>
    <w:rsid w:val="003C7F2E"/>
    <w:rsid w:val="003D0862"/>
    <w:rsid w:val="003D1DB8"/>
    <w:rsid w:val="003D3B5F"/>
    <w:rsid w:val="003E15F1"/>
    <w:rsid w:val="003E1B70"/>
    <w:rsid w:val="003E42CF"/>
    <w:rsid w:val="003E6A35"/>
    <w:rsid w:val="003E7EBF"/>
    <w:rsid w:val="003F2077"/>
    <w:rsid w:val="003F3F2D"/>
    <w:rsid w:val="003F50EC"/>
    <w:rsid w:val="003F62F7"/>
    <w:rsid w:val="00403D15"/>
    <w:rsid w:val="004063A4"/>
    <w:rsid w:val="004114F8"/>
    <w:rsid w:val="004119EE"/>
    <w:rsid w:val="004121E6"/>
    <w:rsid w:val="00413F57"/>
    <w:rsid w:val="00414031"/>
    <w:rsid w:val="00414967"/>
    <w:rsid w:val="00417F8C"/>
    <w:rsid w:val="00423258"/>
    <w:rsid w:val="00423345"/>
    <w:rsid w:val="00425C32"/>
    <w:rsid w:val="00426E2A"/>
    <w:rsid w:val="00432FD3"/>
    <w:rsid w:val="004338E5"/>
    <w:rsid w:val="00434813"/>
    <w:rsid w:val="0043585B"/>
    <w:rsid w:val="00441F7C"/>
    <w:rsid w:val="004434F8"/>
    <w:rsid w:val="00446290"/>
    <w:rsid w:val="00447147"/>
    <w:rsid w:val="0044797A"/>
    <w:rsid w:val="00453787"/>
    <w:rsid w:val="0045493B"/>
    <w:rsid w:val="004568BE"/>
    <w:rsid w:val="00457930"/>
    <w:rsid w:val="004601DA"/>
    <w:rsid w:val="004613D6"/>
    <w:rsid w:val="00462DA3"/>
    <w:rsid w:val="00463C94"/>
    <w:rsid w:val="00464838"/>
    <w:rsid w:val="00466096"/>
    <w:rsid w:val="0047161D"/>
    <w:rsid w:val="00485386"/>
    <w:rsid w:val="00485570"/>
    <w:rsid w:val="00490F12"/>
    <w:rsid w:val="00492087"/>
    <w:rsid w:val="00495D51"/>
    <w:rsid w:val="00495F1A"/>
    <w:rsid w:val="004A0960"/>
    <w:rsid w:val="004A1C4E"/>
    <w:rsid w:val="004A20B0"/>
    <w:rsid w:val="004A263B"/>
    <w:rsid w:val="004A2B74"/>
    <w:rsid w:val="004A5915"/>
    <w:rsid w:val="004A7123"/>
    <w:rsid w:val="004B0F7D"/>
    <w:rsid w:val="004B1908"/>
    <w:rsid w:val="004B6D3B"/>
    <w:rsid w:val="004C0482"/>
    <w:rsid w:val="004C2408"/>
    <w:rsid w:val="004C2AFE"/>
    <w:rsid w:val="004C3113"/>
    <w:rsid w:val="004C609F"/>
    <w:rsid w:val="004D3661"/>
    <w:rsid w:val="004D51FE"/>
    <w:rsid w:val="004D553D"/>
    <w:rsid w:val="004D5DE1"/>
    <w:rsid w:val="004E02A8"/>
    <w:rsid w:val="004E0DCD"/>
    <w:rsid w:val="004E70F1"/>
    <w:rsid w:val="004E7E8B"/>
    <w:rsid w:val="004E7FE6"/>
    <w:rsid w:val="004F0ED6"/>
    <w:rsid w:val="004F3DB1"/>
    <w:rsid w:val="004F64E6"/>
    <w:rsid w:val="004F76D3"/>
    <w:rsid w:val="004F7D6A"/>
    <w:rsid w:val="005001E0"/>
    <w:rsid w:val="005014AB"/>
    <w:rsid w:val="00501528"/>
    <w:rsid w:val="00502F88"/>
    <w:rsid w:val="00503313"/>
    <w:rsid w:val="00505140"/>
    <w:rsid w:val="00507361"/>
    <w:rsid w:val="005077F2"/>
    <w:rsid w:val="00510459"/>
    <w:rsid w:val="005116BA"/>
    <w:rsid w:val="005130CA"/>
    <w:rsid w:val="00514092"/>
    <w:rsid w:val="005164E0"/>
    <w:rsid w:val="005202E1"/>
    <w:rsid w:val="005243D6"/>
    <w:rsid w:val="00524567"/>
    <w:rsid w:val="0052551A"/>
    <w:rsid w:val="00525925"/>
    <w:rsid w:val="005302C7"/>
    <w:rsid w:val="00530634"/>
    <w:rsid w:val="00535D5A"/>
    <w:rsid w:val="00540271"/>
    <w:rsid w:val="00541DC0"/>
    <w:rsid w:val="00542E6B"/>
    <w:rsid w:val="00546AAD"/>
    <w:rsid w:val="00552943"/>
    <w:rsid w:val="005546DB"/>
    <w:rsid w:val="00554AA6"/>
    <w:rsid w:val="00555197"/>
    <w:rsid w:val="00557E08"/>
    <w:rsid w:val="0056093C"/>
    <w:rsid w:val="00560DAD"/>
    <w:rsid w:val="0056224F"/>
    <w:rsid w:val="005626FB"/>
    <w:rsid w:val="00565A9F"/>
    <w:rsid w:val="00571A6F"/>
    <w:rsid w:val="00572AC7"/>
    <w:rsid w:val="005732D6"/>
    <w:rsid w:val="00574401"/>
    <w:rsid w:val="005758CC"/>
    <w:rsid w:val="005779A2"/>
    <w:rsid w:val="00580629"/>
    <w:rsid w:val="00583B01"/>
    <w:rsid w:val="00585FCB"/>
    <w:rsid w:val="00593946"/>
    <w:rsid w:val="00593B86"/>
    <w:rsid w:val="00594F7B"/>
    <w:rsid w:val="00594FCD"/>
    <w:rsid w:val="00597E30"/>
    <w:rsid w:val="005A1FD9"/>
    <w:rsid w:val="005A32CF"/>
    <w:rsid w:val="005A3867"/>
    <w:rsid w:val="005A387F"/>
    <w:rsid w:val="005A52E0"/>
    <w:rsid w:val="005B2651"/>
    <w:rsid w:val="005B5566"/>
    <w:rsid w:val="005C09D0"/>
    <w:rsid w:val="005C23D5"/>
    <w:rsid w:val="005C2B74"/>
    <w:rsid w:val="005D5558"/>
    <w:rsid w:val="005D772D"/>
    <w:rsid w:val="005E0E45"/>
    <w:rsid w:val="005E2382"/>
    <w:rsid w:val="005E2E64"/>
    <w:rsid w:val="005E32BF"/>
    <w:rsid w:val="005E47DF"/>
    <w:rsid w:val="005E4AF1"/>
    <w:rsid w:val="005E63FA"/>
    <w:rsid w:val="005F0823"/>
    <w:rsid w:val="005F0DA5"/>
    <w:rsid w:val="005F16B7"/>
    <w:rsid w:val="005F16FD"/>
    <w:rsid w:val="005F38CD"/>
    <w:rsid w:val="005F5991"/>
    <w:rsid w:val="005F5A8E"/>
    <w:rsid w:val="005F600F"/>
    <w:rsid w:val="00600141"/>
    <w:rsid w:val="00601E85"/>
    <w:rsid w:val="006030D2"/>
    <w:rsid w:val="006045CB"/>
    <w:rsid w:val="00604CF7"/>
    <w:rsid w:val="00613904"/>
    <w:rsid w:val="0061479A"/>
    <w:rsid w:val="00620BDD"/>
    <w:rsid w:val="00621A68"/>
    <w:rsid w:val="00622B2F"/>
    <w:rsid w:val="006237A3"/>
    <w:rsid w:val="00624A10"/>
    <w:rsid w:val="00633407"/>
    <w:rsid w:val="00633852"/>
    <w:rsid w:val="00635A32"/>
    <w:rsid w:val="006377ED"/>
    <w:rsid w:val="006409D5"/>
    <w:rsid w:val="006439E4"/>
    <w:rsid w:val="00646611"/>
    <w:rsid w:val="006505F5"/>
    <w:rsid w:val="00650A18"/>
    <w:rsid w:val="00650F2F"/>
    <w:rsid w:val="006517B5"/>
    <w:rsid w:val="00652B38"/>
    <w:rsid w:val="00654AAE"/>
    <w:rsid w:val="00655743"/>
    <w:rsid w:val="00661490"/>
    <w:rsid w:val="00661DC9"/>
    <w:rsid w:val="00661E96"/>
    <w:rsid w:val="0066606E"/>
    <w:rsid w:val="0067456D"/>
    <w:rsid w:val="006765CF"/>
    <w:rsid w:val="00676E4D"/>
    <w:rsid w:val="00684BB3"/>
    <w:rsid w:val="00690456"/>
    <w:rsid w:val="00691541"/>
    <w:rsid w:val="00692CA0"/>
    <w:rsid w:val="0069334F"/>
    <w:rsid w:val="0069543C"/>
    <w:rsid w:val="00696D3F"/>
    <w:rsid w:val="006972AA"/>
    <w:rsid w:val="00697AF4"/>
    <w:rsid w:val="00697BED"/>
    <w:rsid w:val="006A1C4D"/>
    <w:rsid w:val="006A37EE"/>
    <w:rsid w:val="006A54CA"/>
    <w:rsid w:val="006B002C"/>
    <w:rsid w:val="006B3B84"/>
    <w:rsid w:val="006C264A"/>
    <w:rsid w:val="006C2716"/>
    <w:rsid w:val="006C2E18"/>
    <w:rsid w:val="006C60A7"/>
    <w:rsid w:val="006C788F"/>
    <w:rsid w:val="006D1C0E"/>
    <w:rsid w:val="006D36A5"/>
    <w:rsid w:val="006D4492"/>
    <w:rsid w:val="006D55CE"/>
    <w:rsid w:val="006E02B7"/>
    <w:rsid w:val="006E0D4A"/>
    <w:rsid w:val="006E2C56"/>
    <w:rsid w:val="006E56C9"/>
    <w:rsid w:val="006E7882"/>
    <w:rsid w:val="006F2F09"/>
    <w:rsid w:val="006F33B5"/>
    <w:rsid w:val="007007E8"/>
    <w:rsid w:val="00701A94"/>
    <w:rsid w:val="0070237C"/>
    <w:rsid w:val="00702601"/>
    <w:rsid w:val="00703F27"/>
    <w:rsid w:val="007047EE"/>
    <w:rsid w:val="007063E5"/>
    <w:rsid w:val="00706533"/>
    <w:rsid w:val="0070656A"/>
    <w:rsid w:val="0071086A"/>
    <w:rsid w:val="00713506"/>
    <w:rsid w:val="00714185"/>
    <w:rsid w:val="00716FE3"/>
    <w:rsid w:val="00722B95"/>
    <w:rsid w:val="00723B30"/>
    <w:rsid w:val="00723BAF"/>
    <w:rsid w:val="007249A0"/>
    <w:rsid w:val="007276F0"/>
    <w:rsid w:val="007327DE"/>
    <w:rsid w:val="0073739B"/>
    <w:rsid w:val="00737430"/>
    <w:rsid w:val="007374A4"/>
    <w:rsid w:val="00737D99"/>
    <w:rsid w:val="007404B9"/>
    <w:rsid w:val="00740F5D"/>
    <w:rsid w:val="00742674"/>
    <w:rsid w:val="00742BB3"/>
    <w:rsid w:val="007431C7"/>
    <w:rsid w:val="0074341D"/>
    <w:rsid w:val="007478F6"/>
    <w:rsid w:val="0075141D"/>
    <w:rsid w:val="007519F1"/>
    <w:rsid w:val="00753A2F"/>
    <w:rsid w:val="007549A5"/>
    <w:rsid w:val="0075504D"/>
    <w:rsid w:val="00760988"/>
    <w:rsid w:val="00760A10"/>
    <w:rsid w:val="00764EE7"/>
    <w:rsid w:val="00767C37"/>
    <w:rsid w:val="00771786"/>
    <w:rsid w:val="007739C1"/>
    <w:rsid w:val="00773AFE"/>
    <w:rsid w:val="007761D4"/>
    <w:rsid w:val="00780249"/>
    <w:rsid w:val="007836F2"/>
    <w:rsid w:val="0078680C"/>
    <w:rsid w:val="00786CF3"/>
    <w:rsid w:val="007900AD"/>
    <w:rsid w:val="007910B4"/>
    <w:rsid w:val="0079296B"/>
    <w:rsid w:val="007979A5"/>
    <w:rsid w:val="007A1A5A"/>
    <w:rsid w:val="007A1D91"/>
    <w:rsid w:val="007A202F"/>
    <w:rsid w:val="007A4990"/>
    <w:rsid w:val="007B32B0"/>
    <w:rsid w:val="007B4EBC"/>
    <w:rsid w:val="007C01F7"/>
    <w:rsid w:val="007C09A8"/>
    <w:rsid w:val="007C0FA6"/>
    <w:rsid w:val="007C1AB3"/>
    <w:rsid w:val="007D0E6D"/>
    <w:rsid w:val="007D13FF"/>
    <w:rsid w:val="007D5E56"/>
    <w:rsid w:val="007E2532"/>
    <w:rsid w:val="007E3984"/>
    <w:rsid w:val="007E4816"/>
    <w:rsid w:val="007E5E3E"/>
    <w:rsid w:val="007F2CB3"/>
    <w:rsid w:val="007F3308"/>
    <w:rsid w:val="007F3DCB"/>
    <w:rsid w:val="007F509D"/>
    <w:rsid w:val="007F7DCF"/>
    <w:rsid w:val="0080047F"/>
    <w:rsid w:val="00800545"/>
    <w:rsid w:val="008017F7"/>
    <w:rsid w:val="00807876"/>
    <w:rsid w:val="0081070F"/>
    <w:rsid w:val="008119A4"/>
    <w:rsid w:val="00814CE8"/>
    <w:rsid w:val="008212FA"/>
    <w:rsid w:val="0082249F"/>
    <w:rsid w:val="0082580E"/>
    <w:rsid w:val="00825AAB"/>
    <w:rsid w:val="00833AD4"/>
    <w:rsid w:val="0083503B"/>
    <w:rsid w:val="008351A8"/>
    <w:rsid w:val="008356DB"/>
    <w:rsid w:val="00836436"/>
    <w:rsid w:val="00842969"/>
    <w:rsid w:val="00845799"/>
    <w:rsid w:val="00845ACE"/>
    <w:rsid w:val="00850FA9"/>
    <w:rsid w:val="00855A75"/>
    <w:rsid w:val="00856170"/>
    <w:rsid w:val="00856856"/>
    <w:rsid w:val="00860294"/>
    <w:rsid w:val="00860B90"/>
    <w:rsid w:val="00863720"/>
    <w:rsid w:val="008660B3"/>
    <w:rsid w:val="008661B5"/>
    <w:rsid w:val="00866355"/>
    <w:rsid w:val="0087283B"/>
    <w:rsid w:val="0087338E"/>
    <w:rsid w:val="00873AF4"/>
    <w:rsid w:val="00874F44"/>
    <w:rsid w:val="00880929"/>
    <w:rsid w:val="00885897"/>
    <w:rsid w:val="0088626D"/>
    <w:rsid w:val="00887C1E"/>
    <w:rsid w:val="0089125C"/>
    <w:rsid w:val="0089192E"/>
    <w:rsid w:val="008923A0"/>
    <w:rsid w:val="00892CE7"/>
    <w:rsid w:val="00897CBC"/>
    <w:rsid w:val="008A1529"/>
    <w:rsid w:val="008A4EB1"/>
    <w:rsid w:val="008A6F45"/>
    <w:rsid w:val="008A7829"/>
    <w:rsid w:val="008B1976"/>
    <w:rsid w:val="008B1A89"/>
    <w:rsid w:val="008B3FD4"/>
    <w:rsid w:val="008B7324"/>
    <w:rsid w:val="008B776E"/>
    <w:rsid w:val="008B7ADE"/>
    <w:rsid w:val="008C17C2"/>
    <w:rsid w:val="008C238C"/>
    <w:rsid w:val="008C31E2"/>
    <w:rsid w:val="008C502A"/>
    <w:rsid w:val="008C5D16"/>
    <w:rsid w:val="008C7A62"/>
    <w:rsid w:val="008C7B38"/>
    <w:rsid w:val="008D6664"/>
    <w:rsid w:val="008E4F62"/>
    <w:rsid w:val="008E7064"/>
    <w:rsid w:val="008F1182"/>
    <w:rsid w:val="008F1927"/>
    <w:rsid w:val="008F42AC"/>
    <w:rsid w:val="008F4869"/>
    <w:rsid w:val="008F5956"/>
    <w:rsid w:val="008F5E33"/>
    <w:rsid w:val="008F7D68"/>
    <w:rsid w:val="00900097"/>
    <w:rsid w:val="009034D9"/>
    <w:rsid w:val="00904B9F"/>
    <w:rsid w:val="00914898"/>
    <w:rsid w:val="009168FB"/>
    <w:rsid w:val="0092428F"/>
    <w:rsid w:val="00930140"/>
    <w:rsid w:val="00932356"/>
    <w:rsid w:val="00932BA5"/>
    <w:rsid w:val="009354DF"/>
    <w:rsid w:val="009414B0"/>
    <w:rsid w:val="009420E1"/>
    <w:rsid w:val="00945C55"/>
    <w:rsid w:val="009504D6"/>
    <w:rsid w:val="00954D30"/>
    <w:rsid w:val="00956447"/>
    <w:rsid w:val="00962880"/>
    <w:rsid w:val="009635BC"/>
    <w:rsid w:val="00964048"/>
    <w:rsid w:val="00965B20"/>
    <w:rsid w:val="00966773"/>
    <w:rsid w:val="00974F9C"/>
    <w:rsid w:val="0097560B"/>
    <w:rsid w:val="00980DE5"/>
    <w:rsid w:val="00983385"/>
    <w:rsid w:val="00984707"/>
    <w:rsid w:val="00985852"/>
    <w:rsid w:val="0099139B"/>
    <w:rsid w:val="009952F0"/>
    <w:rsid w:val="009A1AD7"/>
    <w:rsid w:val="009A3A58"/>
    <w:rsid w:val="009A42B3"/>
    <w:rsid w:val="009A48F0"/>
    <w:rsid w:val="009A793F"/>
    <w:rsid w:val="009B30DF"/>
    <w:rsid w:val="009B6DD3"/>
    <w:rsid w:val="009C42CD"/>
    <w:rsid w:val="009C6641"/>
    <w:rsid w:val="009D0B09"/>
    <w:rsid w:val="009D1112"/>
    <w:rsid w:val="009D1DDC"/>
    <w:rsid w:val="009D7F09"/>
    <w:rsid w:val="009E0780"/>
    <w:rsid w:val="009E080C"/>
    <w:rsid w:val="009F157E"/>
    <w:rsid w:val="009F4EC4"/>
    <w:rsid w:val="009F52C2"/>
    <w:rsid w:val="009F6B42"/>
    <w:rsid w:val="009F6D94"/>
    <w:rsid w:val="00A0159B"/>
    <w:rsid w:val="00A0292F"/>
    <w:rsid w:val="00A037C6"/>
    <w:rsid w:val="00A12721"/>
    <w:rsid w:val="00A12C39"/>
    <w:rsid w:val="00A14332"/>
    <w:rsid w:val="00A1578A"/>
    <w:rsid w:val="00A15BC4"/>
    <w:rsid w:val="00A15C85"/>
    <w:rsid w:val="00A25DC8"/>
    <w:rsid w:val="00A30755"/>
    <w:rsid w:val="00A311DD"/>
    <w:rsid w:val="00A362A9"/>
    <w:rsid w:val="00A3665C"/>
    <w:rsid w:val="00A37CC0"/>
    <w:rsid w:val="00A41992"/>
    <w:rsid w:val="00A41A3D"/>
    <w:rsid w:val="00A41E3F"/>
    <w:rsid w:val="00A42A3F"/>
    <w:rsid w:val="00A42D7A"/>
    <w:rsid w:val="00A43FD4"/>
    <w:rsid w:val="00A4590B"/>
    <w:rsid w:val="00A45E1C"/>
    <w:rsid w:val="00A46D75"/>
    <w:rsid w:val="00A46D99"/>
    <w:rsid w:val="00A526B2"/>
    <w:rsid w:val="00A54189"/>
    <w:rsid w:val="00A56400"/>
    <w:rsid w:val="00A62D21"/>
    <w:rsid w:val="00A661D1"/>
    <w:rsid w:val="00A73AC1"/>
    <w:rsid w:val="00A73B96"/>
    <w:rsid w:val="00A768C0"/>
    <w:rsid w:val="00A81779"/>
    <w:rsid w:val="00A826B1"/>
    <w:rsid w:val="00A84461"/>
    <w:rsid w:val="00A86884"/>
    <w:rsid w:val="00A8723C"/>
    <w:rsid w:val="00A9138C"/>
    <w:rsid w:val="00A932BF"/>
    <w:rsid w:val="00A96E12"/>
    <w:rsid w:val="00A97723"/>
    <w:rsid w:val="00AA17F0"/>
    <w:rsid w:val="00AA2B48"/>
    <w:rsid w:val="00AA3ED3"/>
    <w:rsid w:val="00AA7BF7"/>
    <w:rsid w:val="00AA7F01"/>
    <w:rsid w:val="00AB1C40"/>
    <w:rsid w:val="00AB2299"/>
    <w:rsid w:val="00AB4159"/>
    <w:rsid w:val="00AB446F"/>
    <w:rsid w:val="00AB5166"/>
    <w:rsid w:val="00AB6098"/>
    <w:rsid w:val="00AB6EA6"/>
    <w:rsid w:val="00AB77DD"/>
    <w:rsid w:val="00AC5B3D"/>
    <w:rsid w:val="00AC5B81"/>
    <w:rsid w:val="00AD17EC"/>
    <w:rsid w:val="00AD4307"/>
    <w:rsid w:val="00AD4F17"/>
    <w:rsid w:val="00AE2EF6"/>
    <w:rsid w:val="00AE5A5D"/>
    <w:rsid w:val="00AF627A"/>
    <w:rsid w:val="00AF68C7"/>
    <w:rsid w:val="00AF6D04"/>
    <w:rsid w:val="00B04B31"/>
    <w:rsid w:val="00B103AC"/>
    <w:rsid w:val="00B115F3"/>
    <w:rsid w:val="00B123A9"/>
    <w:rsid w:val="00B136FA"/>
    <w:rsid w:val="00B21757"/>
    <w:rsid w:val="00B226AB"/>
    <w:rsid w:val="00B271D6"/>
    <w:rsid w:val="00B36A59"/>
    <w:rsid w:val="00B36ACF"/>
    <w:rsid w:val="00B427B9"/>
    <w:rsid w:val="00B44989"/>
    <w:rsid w:val="00B44A11"/>
    <w:rsid w:val="00B4652F"/>
    <w:rsid w:val="00B4730B"/>
    <w:rsid w:val="00B47855"/>
    <w:rsid w:val="00B50653"/>
    <w:rsid w:val="00B51DFB"/>
    <w:rsid w:val="00B53C74"/>
    <w:rsid w:val="00B561FB"/>
    <w:rsid w:val="00B6095A"/>
    <w:rsid w:val="00B63B54"/>
    <w:rsid w:val="00B656BF"/>
    <w:rsid w:val="00B713DC"/>
    <w:rsid w:val="00B719C8"/>
    <w:rsid w:val="00B7536F"/>
    <w:rsid w:val="00B77AF7"/>
    <w:rsid w:val="00B80AF8"/>
    <w:rsid w:val="00B82B34"/>
    <w:rsid w:val="00B82F55"/>
    <w:rsid w:val="00B84D58"/>
    <w:rsid w:val="00B86D1D"/>
    <w:rsid w:val="00B86E22"/>
    <w:rsid w:val="00B90B0D"/>
    <w:rsid w:val="00B90EE7"/>
    <w:rsid w:val="00B927CC"/>
    <w:rsid w:val="00B92DAC"/>
    <w:rsid w:val="00B97794"/>
    <w:rsid w:val="00B97981"/>
    <w:rsid w:val="00BA464E"/>
    <w:rsid w:val="00BA518D"/>
    <w:rsid w:val="00BA67EC"/>
    <w:rsid w:val="00BA7618"/>
    <w:rsid w:val="00BB0146"/>
    <w:rsid w:val="00BB0A08"/>
    <w:rsid w:val="00BB6D11"/>
    <w:rsid w:val="00BB7029"/>
    <w:rsid w:val="00BC348E"/>
    <w:rsid w:val="00BC38C7"/>
    <w:rsid w:val="00BC4D1C"/>
    <w:rsid w:val="00BC5F9A"/>
    <w:rsid w:val="00BC672E"/>
    <w:rsid w:val="00BC6E66"/>
    <w:rsid w:val="00BD0CC0"/>
    <w:rsid w:val="00BD4828"/>
    <w:rsid w:val="00BD6011"/>
    <w:rsid w:val="00BD75CC"/>
    <w:rsid w:val="00BD7F8F"/>
    <w:rsid w:val="00BE01F3"/>
    <w:rsid w:val="00BE108B"/>
    <w:rsid w:val="00BE1F81"/>
    <w:rsid w:val="00BE2D85"/>
    <w:rsid w:val="00BE4966"/>
    <w:rsid w:val="00BE64D6"/>
    <w:rsid w:val="00BE70AB"/>
    <w:rsid w:val="00BF1290"/>
    <w:rsid w:val="00BF5E04"/>
    <w:rsid w:val="00BF63FB"/>
    <w:rsid w:val="00BF6716"/>
    <w:rsid w:val="00BF796D"/>
    <w:rsid w:val="00C00D1D"/>
    <w:rsid w:val="00C0284B"/>
    <w:rsid w:val="00C038E0"/>
    <w:rsid w:val="00C051DE"/>
    <w:rsid w:val="00C1003C"/>
    <w:rsid w:val="00C13851"/>
    <w:rsid w:val="00C13D0F"/>
    <w:rsid w:val="00C13FFF"/>
    <w:rsid w:val="00C16E97"/>
    <w:rsid w:val="00C234A3"/>
    <w:rsid w:val="00C244F2"/>
    <w:rsid w:val="00C24539"/>
    <w:rsid w:val="00C250E2"/>
    <w:rsid w:val="00C270A5"/>
    <w:rsid w:val="00C27451"/>
    <w:rsid w:val="00C27847"/>
    <w:rsid w:val="00C30D26"/>
    <w:rsid w:val="00C31EC8"/>
    <w:rsid w:val="00C334F3"/>
    <w:rsid w:val="00C33B79"/>
    <w:rsid w:val="00C3792C"/>
    <w:rsid w:val="00C417C3"/>
    <w:rsid w:val="00C42033"/>
    <w:rsid w:val="00C43233"/>
    <w:rsid w:val="00C450BB"/>
    <w:rsid w:val="00C46C89"/>
    <w:rsid w:val="00C503C8"/>
    <w:rsid w:val="00C51029"/>
    <w:rsid w:val="00C51395"/>
    <w:rsid w:val="00C51D4F"/>
    <w:rsid w:val="00C5335D"/>
    <w:rsid w:val="00C55CBF"/>
    <w:rsid w:val="00C561BF"/>
    <w:rsid w:val="00C57B7C"/>
    <w:rsid w:val="00C65925"/>
    <w:rsid w:val="00C673E2"/>
    <w:rsid w:val="00C67CCE"/>
    <w:rsid w:val="00C71853"/>
    <w:rsid w:val="00C74C03"/>
    <w:rsid w:val="00C75243"/>
    <w:rsid w:val="00C934FE"/>
    <w:rsid w:val="00C936BB"/>
    <w:rsid w:val="00C93F55"/>
    <w:rsid w:val="00C95318"/>
    <w:rsid w:val="00C96B7D"/>
    <w:rsid w:val="00C97D15"/>
    <w:rsid w:val="00CA2FE0"/>
    <w:rsid w:val="00CA43CF"/>
    <w:rsid w:val="00CB05F8"/>
    <w:rsid w:val="00CB2A13"/>
    <w:rsid w:val="00CB3752"/>
    <w:rsid w:val="00CB606F"/>
    <w:rsid w:val="00CB7650"/>
    <w:rsid w:val="00CC4356"/>
    <w:rsid w:val="00CC68EB"/>
    <w:rsid w:val="00CD0F8C"/>
    <w:rsid w:val="00CD2EB3"/>
    <w:rsid w:val="00CD62AC"/>
    <w:rsid w:val="00CE1365"/>
    <w:rsid w:val="00CE2B02"/>
    <w:rsid w:val="00CE631B"/>
    <w:rsid w:val="00CE7498"/>
    <w:rsid w:val="00CF4B4A"/>
    <w:rsid w:val="00CF4E0B"/>
    <w:rsid w:val="00CF51A2"/>
    <w:rsid w:val="00CF62B1"/>
    <w:rsid w:val="00CF7EBB"/>
    <w:rsid w:val="00D00229"/>
    <w:rsid w:val="00D00F6B"/>
    <w:rsid w:val="00D0362F"/>
    <w:rsid w:val="00D172D5"/>
    <w:rsid w:val="00D23254"/>
    <w:rsid w:val="00D23F38"/>
    <w:rsid w:val="00D24A3E"/>
    <w:rsid w:val="00D314A1"/>
    <w:rsid w:val="00D3509B"/>
    <w:rsid w:val="00D35940"/>
    <w:rsid w:val="00D50CF9"/>
    <w:rsid w:val="00D55081"/>
    <w:rsid w:val="00D569F1"/>
    <w:rsid w:val="00D602A6"/>
    <w:rsid w:val="00D65BC9"/>
    <w:rsid w:val="00D669B2"/>
    <w:rsid w:val="00D72E5E"/>
    <w:rsid w:val="00D74E81"/>
    <w:rsid w:val="00D76EA6"/>
    <w:rsid w:val="00D80D6F"/>
    <w:rsid w:val="00D85A6B"/>
    <w:rsid w:val="00D86000"/>
    <w:rsid w:val="00D95BD3"/>
    <w:rsid w:val="00D96CBF"/>
    <w:rsid w:val="00DA040C"/>
    <w:rsid w:val="00DA289E"/>
    <w:rsid w:val="00DA2F7A"/>
    <w:rsid w:val="00DA387C"/>
    <w:rsid w:val="00DA7E53"/>
    <w:rsid w:val="00DB2CBB"/>
    <w:rsid w:val="00DC1821"/>
    <w:rsid w:val="00DC5296"/>
    <w:rsid w:val="00DD104D"/>
    <w:rsid w:val="00DD3B66"/>
    <w:rsid w:val="00DD4459"/>
    <w:rsid w:val="00DD4B9C"/>
    <w:rsid w:val="00DD68A0"/>
    <w:rsid w:val="00DE0286"/>
    <w:rsid w:val="00DE4B7F"/>
    <w:rsid w:val="00DE739A"/>
    <w:rsid w:val="00DE7F8B"/>
    <w:rsid w:val="00DF1A4B"/>
    <w:rsid w:val="00DF31AD"/>
    <w:rsid w:val="00DF368D"/>
    <w:rsid w:val="00DF4D9C"/>
    <w:rsid w:val="00DF7057"/>
    <w:rsid w:val="00E0006C"/>
    <w:rsid w:val="00E015C0"/>
    <w:rsid w:val="00E040A4"/>
    <w:rsid w:val="00E04B1A"/>
    <w:rsid w:val="00E05A1D"/>
    <w:rsid w:val="00E10041"/>
    <w:rsid w:val="00E11899"/>
    <w:rsid w:val="00E133B8"/>
    <w:rsid w:val="00E14A21"/>
    <w:rsid w:val="00E15B02"/>
    <w:rsid w:val="00E17FDE"/>
    <w:rsid w:val="00E229AA"/>
    <w:rsid w:val="00E22C82"/>
    <w:rsid w:val="00E23745"/>
    <w:rsid w:val="00E244E1"/>
    <w:rsid w:val="00E26867"/>
    <w:rsid w:val="00E3234C"/>
    <w:rsid w:val="00E33433"/>
    <w:rsid w:val="00E339DC"/>
    <w:rsid w:val="00E33F55"/>
    <w:rsid w:val="00E3589B"/>
    <w:rsid w:val="00E37FDE"/>
    <w:rsid w:val="00E4109A"/>
    <w:rsid w:val="00E41D49"/>
    <w:rsid w:val="00E42DE9"/>
    <w:rsid w:val="00E436AD"/>
    <w:rsid w:val="00E45795"/>
    <w:rsid w:val="00E47595"/>
    <w:rsid w:val="00E511FE"/>
    <w:rsid w:val="00E52BDA"/>
    <w:rsid w:val="00E54643"/>
    <w:rsid w:val="00E55BF7"/>
    <w:rsid w:val="00E56714"/>
    <w:rsid w:val="00E56E1B"/>
    <w:rsid w:val="00E5781E"/>
    <w:rsid w:val="00E626EA"/>
    <w:rsid w:val="00E630CC"/>
    <w:rsid w:val="00E6328D"/>
    <w:rsid w:val="00E6517C"/>
    <w:rsid w:val="00E677E3"/>
    <w:rsid w:val="00E67A80"/>
    <w:rsid w:val="00E67B9A"/>
    <w:rsid w:val="00E67F13"/>
    <w:rsid w:val="00E7341F"/>
    <w:rsid w:val="00E73993"/>
    <w:rsid w:val="00E7479F"/>
    <w:rsid w:val="00E74E30"/>
    <w:rsid w:val="00E75C12"/>
    <w:rsid w:val="00E76602"/>
    <w:rsid w:val="00E8164D"/>
    <w:rsid w:val="00E81B9C"/>
    <w:rsid w:val="00E8330F"/>
    <w:rsid w:val="00E848AB"/>
    <w:rsid w:val="00E84A35"/>
    <w:rsid w:val="00E84E78"/>
    <w:rsid w:val="00E85D6F"/>
    <w:rsid w:val="00E86625"/>
    <w:rsid w:val="00E91D4F"/>
    <w:rsid w:val="00E92F4A"/>
    <w:rsid w:val="00E93350"/>
    <w:rsid w:val="00E95FAB"/>
    <w:rsid w:val="00EB053E"/>
    <w:rsid w:val="00EB0FD2"/>
    <w:rsid w:val="00EB109C"/>
    <w:rsid w:val="00EB3FCB"/>
    <w:rsid w:val="00EB5DBC"/>
    <w:rsid w:val="00EB7D8C"/>
    <w:rsid w:val="00EC00D9"/>
    <w:rsid w:val="00EC04F7"/>
    <w:rsid w:val="00EC074E"/>
    <w:rsid w:val="00EC07DE"/>
    <w:rsid w:val="00EC0EAB"/>
    <w:rsid w:val="00EC2461"/>
    <w:rsid w:val="00EC29DD"/>
    <w:rsid w:val="00EC2B74"/>
    <w:rsid w:val="00EC35D1"/>
    <w:rsid w:val="00EC5FC8"/>
    <w:rsid w:val="00ED0FF6"/>
    <w:rsid w:val="00ED3053"/>
    <w:rsid w:val="00ED7B7F"/>
    <w:rsid w:val="00EE3C66"/>
    <w:rsid w:val="00EE4456"/>
    <w:rsid w:val="00EE7CBF"/>
    <w:rsid w:val="00EF1C7B"/>
    <w:rsid w:val="00EF3DE2"/>
    <w:rsid w:val="00EF528C"/>
    <w:rsid w:val="00EF62F7"/>
    <w:rsid w:val="00EF65F3"/>
    <w:rsid w:val="00F018BD"/>
    <w:rsid w:val="00F05D2D"/>
    <w:rsid w:val="00F07D94"/>
    <w:rsid w:val="00F123CE"/>
    <w:rsid w:val="00F12FC8"/>
    <w:rsid w:val="00F1357F"/>
    <w:rsid w:val="00F16983"/>
    <w:rsid w:val="00F201B4"/>
    <w:rsid w:val="00F2054E"/>
    <w:rsid w:val="00F2169F"/>
    <w:rsid w:val="00F21D24"/>
    <w:rsid w:val="00F220E5"/>
    <w:rsid w:val="00F23332"/>
    <w:rsid w:val="00F236F3"/>
    <w:rsid w:val="00F245A0"/>
    <w:rsid w:val="00F24749"/>
    <w:rsid w:val="00F25CE4"/>
    <w:rsid w:val="00F3184C"/>
    <w:rsid w:val="00F32AB5"/>
    <w:rsid w:val="00F3455B"/>
    <w:rsid w:val="00F35A00"/>
    <w:rsid w:val="00F43D22"/>
    <w:rsid w:val="00F4561D"/>
    <w:rsid w:val="00F46390"/>
    <w:rsid w:val="00F52353"/>
    <w:rsid w:val="00F52604"/>
    <w:rsid w:val="00F561C2"/>
    <w:rsid w:val="00F65A28"/>
    <w:rsid w:val="00F65B19"/>
    <w:rsid w:val="00F708D1"/>
    <w:rsid w:val="00F70E74"/>
    <w:rsid w:val="00F72D72"/>
    <w:rsid w:val="00F7406A"/>
    <w:rsid w:val="00F7771A"/>
    <w:rsid w:val="00F77784"/>
    <w:rsid w:val="00F81186"/>
    <w:rsid w:val="00F8662C"/>
    <w:rsid w:val="00F87098"/>
    <w:rsid w:val="00F92897"/>
    <w:rsid w:val="00F92D7C"/>
    <w:rsid w:val="00F93281"/>
    <w:rsid w:val="00F9422E"/>
    <w:rsid w:val="00F956AF"/>
    <w:rsid w:val="00FA016F"/>
    <w:rsid w:val="00FA36E4"/>
    <w:rsid w:val="00FA5042"/>
    <w:rsid w:val="00FA5B37"/>
    <w:rsid w:val="00FA61B8"/>
    <w:rsid w:val="00FB16F8"/>
    <w:rsid w:val="00FB5EF0"/>
    <w:rsid w:val="00FB5F67"/>
    <w:rsid w:val="00FB748D"/>
    <w:rsid w:val="00FC16B9"/>
    <w:rsid w:val="00FC1B8F"/>
    <w:rsid w:val="00FC36C5"/>
    <w:rsid w:val="00FC653F"/>
    <w:rsid w:val="00FD1282"/>
    <w:rsid w:val="00FD231C"/>
    <w:rsid w:val="00FD37D8"/>
    <w:rsid w:val="00FD5651"/>
    <w:rsid w:val="00FD5B4A"/>
    <w:rsid w:val="00FE0E9D"/>
    <w:rsid w:val="00FE3079"/>
    <w:rsid w:val="00FE41CE"/>
    <w:rsid w:val="00FE4AAD"/>
    <w:rsid w:val="00FE7810"/>
    <w:rsid w:val="00FF0849"/>
    <w:rsid w:val="00FF1E11"/>
    <w:rsid w:val="00FF5635"/>
    <w:rsid w:val="00FF6321"/>
    <w:rsid w:val="37F70CEB"/>
    <w:rsid w:val="5A833811"/>
    <w:rsid w:val="5E6FA3FC"/>
    <w:rsid w:val="7FBF6A7C"/>
    <w:rsid w:val="7FF357CD"/>
    <w:rsid w:val="7FFF7324"/>
    <w:rsid w:val="9BF92146"/>
    <w:rsid w:val="9FF54443"/>
    <w:rsid w:val="BD4B2276"/>
    <w:rsid w:val="E50B36BD"/>
    <w:rsid w:val="F5E1C353"/>
    <w:rsid w:val="F77F53E8"/>
    <w:rsid w:val="F7BF839C"/>
    <w:rsid w:val="FBAA0C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GB" w:eastAsia="zh-CN" w:bidi="ar-SA"/>
    </w:rPr>
  </w:style>
  <w:style w:type="paragraph" w:styleId="2">
    <w:name w:val="heading 1"/>
    <w:next w:val="1"/>
    <w:link w:val="26"/>
    <w:qFormat/>
    <w:uiPriority w:val="9"/>
    <w:pPr>
      <w:spacing w:before="156" w:beforeLines="50" w:after="156"/>
      <w:outlineLvl w:val="0"/>
    </w:pPr>
    <w:rPr>
      <w:rFonts w:asciiTheme="majorHAnsi" w:hAnsiTheme="majorHAnsi" w:eastAsiaTheme="minorEastAsia" w:cstheme="majorBidi"/>
      <w:b/>
      <w:color w:val="000000" w:themeColor="text1"/>
      <w:kern w:val="2"/>
      <w:sz w:val="21"/>
      <w:szCs w:val="48"/>
      <w:lang w:val="en-GB" w:eastAsia="zh-CN" w:bidi="ar-SA"/>
      <w14:textFill>
        <w14:solidFill>
          <w14:schemeClr w14:val="tx1"/>
        </w14:solidFill>
      </w14:textFill>
    </w:rPr>
  </w:style>
  <w:style w:type="paragraph" w:styleId="3">
    <w:name w:val="heading 2"/>
    <w:basedOn w:val="1"/>
    <w:next w:val="1"/>
    <w:link w:val="27"/>
    <w:unhideWhenUsed/>
    <w:qFormat/>
    <w:uiPriority w:val="9"/>
    <w:pPr>
      <w:outlineLvl w:val="1"/>
    </w:pPr>
    <w:rPr>
      <w:rFonts w:asciiTheme="majorHAnsi" w:hAnsiTheme="majorHAnsi" w:eastAsiaTheme="minorEastAsia" w:cstheme="majorBidi"/>
      <w:b/>
      <w:color w:val="000000" w:themeColor="text1"/>
      <w:kern w:val="2"/>
      <w:sz w:val="21"/>
      <w:szCs w:val="48"/>
      <w:lang w:val="en-GB" w:eastAsia="zh-CN" w:bidi="ar-SA"/>
      <w14:textFill>
        <w14:solidFill>
          <w14:schemeClr w14:val="tx1"/>
        </w14:solidFill>
      </w14:textFill>
    </w:rPr>
  </w:style>
  <w:style w:type="paragraph" w:styleId="4">
    <w:name w:val="heading 3"/>
    <w:basedOn w:val="1"/>
    <w:next w:val="1"/>
    <w:link w:val="2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3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6"/>
    <w:unhideWhenUsed/>
    <w:uiPriority w:val="99"/>
    <w:pPr>
      <w:jc w:val="left"/>
    </w:pPr>
  </w:style>
  <w:style w:type="paragraph" w:styleId="13">
    <w:name w:val="Body Text"/>
    <w:basedOn w:val="1"/>
    <w:qFormat/>
    <w:uiPriority w:val="0"/>
    <w:pPr>
      <w:spacing w:before="100" w:after="100" w:line="300" w:lineRule="auto"/>
      <w:ind w:firstLine="1124" w:firstLineChars="200"/>
    </w:pPr>
    <w:rPr>
      <w:rFonts w:ascii="Times New Roman" w:hAnsi="Times New Roman"/>
    </w:rPr>
  </w:style>
  <w:style w:type="paragraph" w:styleId="14">
    <w:name w:val="footer"/>
    <w:basedOn w:val="1"/>
    <w:link w:val="45"/>
    <w:unhideWhenUsed/>
    <w:uiPriority w:val="99"/>
    <w:pPr>
      <w:tabs>
        <w:tab w:val="center" w:pos="4153"/>
        <w:tab w:val="right" w:pos="8306"/>
      </w:tabs>
      <w:snapToGrid w:val="0"/>
      <w:jc w:val="left"/>
    </w:pPr>
    <w:rPr>
      <w:sz w:val="18"/>
      <w:szCs w:val="18"/>
    </w:rPr>
  </w:style>
  <w:style w:type="paragraph" w:styleId="15">
    <w:name w:val="header"/>
    <w:basedOn w:val="1"/>
    <w:link w:val="44"/>
    <w:unhideWhenUsed/>
    <w:uiPriority w:val="99"/>
    <w:pPr>
      <w:tabs>
        <w:tab w:val="center" w:pos="4153"/>
        <w:tab w:val="right" w:pos="8306"/>
      </w:tabs>
      <w:snapToGrid w:val="0"/>
      <w:jc w:val="center"/>
    </w:pPr>
    <w:rPr>
      <w:sz w:val="18"/>
      <w:szCs w:val="18"/>
    </w:rPr>
  </w:style>
  <w:style w:type="paragraph" w:styleId="16">
    <w:name w:val="Subtitle"/>
    <w:basedOn w:val="1"/>
    <w:next w:val="1"/>
    <w:link w:val="3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footnote text"/>
    <w:basedOn w:val="1"/>
    <w:link w:val="49"/>
    <w:semiHidden/>
    <w:unhideWhenUsed/>
    <w:uiPriority w:val="99"/>
    <w:pPr>
      <w:snapToGrid w:val="0"/>
      <w:jc w:val="left"/>
    </w:pPr>
    <w:rPr>
      <w:sz w:val="18"/>
      <w:szCs w:val="18"/>
    </w:rPr>
  </w:style>
  <w:style w:type="paragraph" w:styleId="18">
    <w:name w:val="Title"/>
    <w:basedOn w:val="1"/>
    <w:next w:val="1"/>
    <w:link w:val="35"/>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2"/>
    <w:next w:val="12"/>
    <w:link w:val="47"/>
    <w:semiHidden/>
    <w:unhideWhenUsed/>
    <w:uiPriority w:val="99"/>
    <w:rPr>
      <w:b/>
      <w:bCs/>
    </w:rPr>
  </w:style>
  <w:style w:type="table" w:styleId="21">
    <w:name w:val="Table Grid"/>
    <w:basedOn w:val="2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467886" w:themeColor="hyperlink"/>
      <w:u w:val="single"/>
      <w14:textFill>
        <w14:solidFill>
          <w14:schemeClr w14:val="hlink"/>
        </w14:solidFill>
      </w14:textFill>
    </w:rPr>
  </w:style>
  <w:style w:type="character" w:styleId="24">
    <w:name w:val="annotation reference"/>
    <w:basedOn w:val="22"/>
    <w:semiHidden/>
    <w:unhideWhenUsed/>
    <w:uiPriority w:val="99"/>
    <w:rPr>
      <w:sz w:val="21"/>
      <w:szCs w:val="21"/>
    </w:rPr>
  </w:style>
  <w:style w:type="character" w:styleId="25">
    <w:name w:val="footnote reference"/>
    <w:basedOn w:val="22"/>
    <w:semiHidden/>
    <w:unhideWhenUsed/>
    <w:uiPriority w:val="99"/>
    <w:rPr>
      <w:vertAlign w:val="superscript"/>
    </w:rPr>
  </w:style>
  <w:style w:type="character" w:customStyle="1" w:styleId="26">
    <w:name w:val="标题 1 字符"/>
    <w:basedOn w:val="22"/>
    <w:link w:val="2"/>
    <w:uiPriority w:val="9"/>
    <w:rPr>
      <w:rFonts w:asciiTheme="majorHAnsi" w:hAnsiTheme="majorHAnsi" w:cstheme="majorBidi"/>
      <w:b/>
      <w:color w:val="000000" w:themeColor="text1"/>
      <w:szCs w:val="48"/>
      <w:lang w:val="en-GB"/>
      <w14:textFill>
        <w14:solidFill>
          <w14:schemeClr w14:val="tx1"/>
        </w14:solidFill>
      </w14:textFill>
    </w:rPr>
  </w:style>
  <w:style w:type="character" w:customStyle="1" w:styleId="27">
    <w:name w:val="标题 2 字符"/>
    <w:basedOn w:val="22"/>
    <w:link w:val="3"/>
    <w:uiPriority w:val="9"/>
    <w:rPr>
      <w:rFonts w:asciiTheme="majorHAnsi" w:hAnsiTheme="majorHAnsi" w:cstheme="majorBidi"/>
      <w:b/>
      <w:color w:val="000000" w:themeColor="text1"/>
      <w:szCs w:val="48"/>
      <w:lang w:val="en-GB"/>
      <w14:textFill>
        <w14:solidFill>
          <w14:schemeClr w14:val="tx1"/>
        </w14:solidFill>
      </w14:textFill>
    </w:rPr>
  </w:style>
  <w:style w:type="character" w:customStyle="1" w:styleId="28">
    <w:name w:val="标题 3 字符"/>
    <w:basedOn w:val="22"/>
    <w:link w:val="4"/>
    <w:semiHidden/>
    <w:uiPriority w:val="9"/>
    <w:rPr>
      <w:rFonts w:asciiTheme="majorHAnsi" w:hAnsiTheme="majorHAnsi" w:eastAsiaTheme="majorEastAsia" w:cstheme="majorBidi"/>
      <w:color w:val="104862" w:themeColor="accent1" w:themeShade="BF"/>
      <w:sz w:val="32"/>
      <w:szCs w:val="32"/>
      <w:lang w:val="en-GB"/>
    </w:rPr>
  </w:style>
  <w:style w:type="character" w:customStyle="1" w:styleId="29">
    <w:name w:val="标题 4 字符"/>
    <w:basedOn w:val="22"/>
    <w:link w:val="5"/>
    <w:semiHidden/>
    <w:uiPriority w:val="9"/>
    <w:rPr>
      <w:rFonts w:cstheme="majorBidi"/>
      <w:color w:val="104862" w:themeColor="accent1" w:themeShade="BF"/>
      <w:sz w:val="28"/>
      <w:szCs w:val="28"/>
      <w:lang w:val="en-GB"/>
    </w:rPr>
  </w:style>
  <w:style w:type="character" w:customStyle="1" w:styleId="30">
    <w:name w:val="标题 5 字符"/>
    <w:basedOn w:val="22"/>
    <w:link w:val="6"/>
    <w:semiHidden/>
    <w:uiPriority w:val="9"/>
    <w:rPr>
      <w:rFonts w:cstheme="majorBidi"/>
      <w:color w:val="104862" w:themeColor="accent1" w:themeShade="BF"/>
      <w:sz w:val="24"/>
      <w:szCs w:val="24"/>
      <w:lang w:val="en-GB"/>
    </w:rPr>
  </w:style>
  <w:style w:type="character" w:customStyle="1" w:styleId="31">
    <w:name w:val="标题 6 字符"/>
    <w:basedOn w:val="22"/>
    <w:link w:val="7"/>
    <w:semiHidden/>
    <w:uiPriority w:val="9"/>
    <w:rPr>
      <w:rFonts w:cstheme="majorBidi"/>
      <w:b/>
      <w:bCs/>
      <w:color w:val="104862" w:themeColor="accent1" w:themeShade="BF"/>
      <w:lang w:val="en-GB"/>
    </w:rPr>
  </w:style>
  <w:style w:type="character" w:customStyle="1" w:styleId="32">
    <w:name w:val="标题 7 字符"/>
    <w:basedOn w:val="22"/>
    <w:link w:val="8"/>
    <w:semiHidden/>
    <w:uiPriority w:val="9"/>
    <w:rPr>
      <w:rFonts w:cstheme="majorBidi"/>
      <w:b/>
      <w:bCs/>
      <w:color w:val="595959" w:themeColor="text1" w:themeTint="A6"/>
      <w:lang w:val="en-GB"/>
      <w14:textFill>
        <w14:solidFill>
          <w14:schemeClr w14:val="tx1">
            <w14:lumMod w14:val="65000"/>
            <w14:lumOff w14:val="35000"/>
          </w14:schemeClr>
        </w14:solidFill>
      </w14:textFill>
    </w:rPr>
  </w:style>
  <w:style w:type="character" w:customStyle="1" w:styleId="33">
    <w:name w:val="标题 8 字符"/>
    <w:basedOn w:val="22"/>
    <w:link w:val="9"/>
    <w:semiHidden/>
    <w:uiPriority w:val="9"/>
    <w:rPr>
      <w:rFonts w:cstheme="majorBidi"/>
      <w:color w:val="595959" w:themeColor="text1" w:themeTint="A6"/>
      <w:lang w:val="en-GB"/>
      <w14:textFill>
        <w14:solidFill>
          <w14:schemeClr w14:val="tx1">
            <w14:lumMod w14:val="65000"/>
            <w14:lumOff w14:val="35000"/>
          </w14:schemeClr>
        </w14:solidFill>
      </w14:textFill>
    </w:rPr>
  </w:style>
  <w:style w:type="character" w:customStyle="1" w:styleId="34">
    <w:name w:val="标题 9 字符"/>
    <w:basedOn w:val="22"/>
    <w:link w:val="10"/>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35">
    <w:name w:val="标题 字符"/>
    <w:basedOn w:val="22"/>
    <w:link w:val="18"/>
    <w:uiPriority w:val="10"/>
    <w:rPr>
      <w:rFonts w:asciiTheme="majorHAnsi" w:hAnsiTheme="majorHAnsi" w:eastAsiaTheme="majorEastAsia" w:cstheme="majorBidi"/>
      <w:spacing w:val="-10"/>
      <w:kern w:val="28"/>
      <w:sz w:val="56"/>
      <w:szCs w:val="56"/>
      <w:lang w:val="en-GB"/>
    </w:rPr>
  </w:style>
  <w:style w:type="character" w:customStyle="1" w:styleId="36">
    <w:name w:val="副标题 字符"/>
    <w:basedOn w:val="22"/>
    <w:link w:val="16"/>
    <w:uiPriority w:val="11"/>
    <w:rPr>
      <w:rFonts w:asciiTheme="majorHAnsi" w:hAnsiTheme="majorHAnsi"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2"/>
    <w:link w:val="37"/>
    <w:uiPriority w:val="29"/>
    <w:rPr>
      <w:i/>
      <w:iCs/>
      <w:color w:val="404040" w:themeColor="text1" w:themeTint="BF"/>
      <w:lang w:val="en-GB"/>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22"/>
    <w:qFormat/>
    <w:uiPriority w:val="21"/>
    <w:rPr>
      <w:i/>
      <w:iCs/>
      <w:color w:val="104862" w:themeColor="accent1" w:themeShade="BF"/>
    </w:rPr>
  </w:style>
  <w:style w:type="paragraph" w:styleId="41">
    <w:name w:val="Intense Quote"/>
    <w:basedOn w:val="1"/>
    <w:next w:val="1"/>
    <w:link w:val="4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2">
    <w:name w:val="明显引用 字符"/>
    <w:basedOn w:val="22"/>
    <w:link w:val="41"/>
    <w:uiPriority w:val="30"/>
    <w:rPr>
      <w:i/>
      <w:iCs/>
      <w:color w:val="104862" w:themeColor="accent1" w:themeShade="BF"/>
      <w:lang w:val="en-GB"/>
    </w:rPr>
  </w:style>
  <w:style w:type="character" w:customStyle="1" w:styleId="43">
    <w:name w:val="Intense Reference"/>
    <w:basedOn w:val="22"/>
    <w:qFormat/>
    <w:uiPriority w:val="32"/>
    <w:rPr>
      <w:b/>
      <w:bCs/>
      <w:smallCaps/>
      <w:color w:val="104862" w:themeColor="accent1" w:themeShade="BF"/>
      <w:spacing w:val="5"/>
    </w:rPr>
  </w:style>
  <w:style w:type="character" w:customStyle="1" w:styleId="44">
    <w:name w:val="页眉 字符"/>
    <w:basedOn w:val="22"/>
    <w:link w:val="15"/>
    <w:uiPriority w:val="99"/>
    <w:rPr>
      <w:sz w:val="18"/>
      <w:szCs w:val="18"/>
      <w:lang w:val="en-GB"/>
    </w:rPr>
  </w:style>
  <w:style w:type="character" w:customStyle="1" w:styleId="45">
    <w:name w:val="页脚 字符"/>
    <w:basedOn w:val="22"/>
    <w:link w:val="14"/>
    <w:uiPriority w:val="99"/>
    <w:rPr>
      <w:sz w:val="18"/>
      <w:szCs w:val="18"/>
      <w:lang w:val="en-GB"/>
    </w:rPr>
  </w:style>
  <w:style w:type="character" w:customStyle="1" w:styleId="46">
    <w:name w:val="批注文字 字符"/>
    <w:basedOn w:val="22"/>
    <w:link w:val="12"/>
    <w:uiPriority w:val="99"/>
    <w:rPr>
      <w:lang w:val="en-GB"/>
    </w:rPr>
  </w:style>
  <w:style w:type="character" w:customStyle="1" w:styleId="47">
    <w:name w:val="批注主题 字符"/>
    <w:basedOn w:val="46"/>
    <w:link w:val="19"/>
    <w:semiHidden/>
    <w:uiPriority w:val="99"/>
    <w:rPr>
      <w:b/>
      <w:bCs/>
      <w:lang w:val="en-GB"/>
    </w:rPr>
  </w:style>
  <w:style w:type="paragraph" w:customStyle="1" w:styleId="48">
    <w:name w:val="Revision"/>
    <w:hidden/>
    <w:semiHidden/>
    <w:uiPriority w:val="99"/>
    <w:rPr>
      <w:rFonts w:asciiTheme="minorHAnsi" w:hAnsiTheme="minorHAnsi" w:eastAsiaTheme="minorEastAsia" w:cstheme="minorBidi"/>
      <w:kern w:val="2"/>
      <w:sz w:val="21"/>
      <w:szCs w:val="22"/>
      <w:lang w:val="en-GB" w:eastAsia="zh-CN" w:bidi="ar-SA"/>
    </w:rPr>
  </w:style>
  <w:style w:type="character" w:customStyle="1" w:styleId="49">
    <w:name w:val="脚注文本 字符"/>
    <w:basedOn w:val="22"/>
    <w:link w:val="17"/>
    <w:semiHidden/>
    <w:uiPriority w:val="99"/>
    <w:rPr>
      <w:sz w:val="18"/>
      <w:szCs w:val="18"/>
      <w:lang w:val="en-GB"/>
    </w:rPr>
  </w:style>
  <w:style w:type="character" w:customStyle="1" w:styleId="50">
    <w:name w:val="Unresolved Mention"/>
    <w:basedOn w:val="22"/>
    <w:semiHidden/>
    <w:unhideWhenUsed/>
    <w:uiPriority w:val="99"/>
    <w:rPr>
      <w:color w:val="605E5C"/>
      <w:shd w:val="clear" w:color="auto" w:fill="E1DFDD"/>
    </w:rPr>
  </w:style>
  <w:style w:type="paragraph" w:styleId="51">
    <w:name w:val="No Spacing"/>
    <w:qFormat/>
    <w:uiPriority w:val="1"/>
    <w:pPr>
      <w:widowControl w:val="0"/>
      <w:jc w:val="both"/>
    </w:pPr>
    <w:rPr>
      <w:rFonts w:asciiTheme="minorHAnsi" w:hAnsiTheme="minorHAnsi" w:eastAsiaTheme="minorEastAsia" w:cstheme="minorBidi"/>
      <w:kern w:val="2"/>
      <w:sz w:val="21"/>
      <w:szCs w:val="22"/>
      <w:lang w:val="en-GB"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2387</Words>
  <Characters>2459</Characters>
  <Lines>136</Lines>
  <Paragraphs>110</Paragraphs>
  <TotalTime>866</TotalTime>
  <ScaleCrop>false</ScaleCrop>
  <LinksUpToDate>false</LinksUpToDate>
  <CharactersWithSpaces>4736</CharactersWithSpaces>
  <Application>WPS Office_6.13.1.8913_F1E327BC-269C-435d-A152-05C5408002CA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2025-07-26T15:56:00Z</dcterms:created>
  <dc:creator>Jun Zhang (Student)</dc:creator>
  <cp:lastModifiedBy>Vic</cp:lastModifiedBy>
  <dcterms:modified xsi:type="dcterms:W3CDTF">2026-05-24T11:01:25Z</dcterms:modified>
  <cp:revision>866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2052-6.13.1.8913</vt:lpwstr>
  </property>
  <property fmtid="{D5CDD505-2E9C-101B-9397-08002B2CF9AE}" pid="3" name="ICV">
    <vt:lpwstr>7B3755F21A5B0DE6056A126A823CCE36_43</vt:lpwstr>
  </property>
</Properties>
</file>