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D1F12">
      <w:pPr>
        <w:pStyle w:val="10"/>
        <w:rPr>
          <w:rFonts w:hint="default"/>
          <w:lang w:val="en-US" w:eastAsia="zh-CN"/>
        </w:rPr>
      </w:pPr>
      <w:r>
        <w:rPr>
          <w:rFonts w:hint="eastAsia"/>
          <w:lang w:val="en-US" w:eastAsia="zh-CN"/>
        </w:rPr>
        <w:t>水泥行业预测</w:t>
      </w:r>
    </w:p>
    <w:p w14:paraId="1CC4EA73">
      <w:pPr>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default" w:ascii="仿宋" w:hAnsi="仿宋" w:eastAsia="仿宋" w:cs="仿宋"/>
          <w:kern w:val="2"/>
          <w:sz w:val="32"/>
          <w:szCs w:val="32"/>
          <w:lang w:val="en-US" w:eastAsia="zh-CN" w:bidi="ar-SA"/>
        </w:rPr>
      </w:pPr>
      <w:r>
        <w:rPr>
          <w:rFonts w:hint="default" w:ascii="仿宋" w:hAnsi="仿宋" w:eastAsia="仿宋" w:cs="仿宋"/>
          <w:kern w:val="2"/>
          <w:sz w:val="32"/>
          <w:szCs w:val="32"/>
          <w:lang w:val="en-US" w:eastAsia="zh-CN" w:bidi="ar-SA"/>
        </w:rPr>
        <w:t>中国水泥产业未来产量发展趋势呈现显著的减量化特征，主要受城镇化进程放缓、低碳技术革新及政策调控等多重因素驱动。根据中国建筑材料科学研究院项目组（2023），基于水泥及熟料产量预测和水泥行业的关键减碳技术，预测了能效提升技术情景、低碳水泥技术情景、燃料替代情景下中国水泥行业 2021-2060 年的碳排放路径。研究表明，中国水泥熟料消费量在 2020 年已达到峰值，峰值为 15.77亿吨，到 2030、2050 和 2060 年，水泥熟料需求量分别为 11.93、6.38 和 4.19 亿吨。水泥需求量由 2020年的 24 亿吨，下降到 2060 年的 5.7 亿吨左右。RMI（2022）发布的中国水泥行业碳中研究则指出，水泥需求将从 2021 年的 23.65 亿吨减少到 2050 年的 7.5 亿吨。生态环境部环境规划院（2025）的研究表明，中国水泥熟料消费量在 2020 年已达到峰值，到 2030 和 2060 年，预测水泥熟料消费量分别为 10.5（水泥16.1 亿吨）和 5.2 亿吨（水泥 8 亿吨）。</w:t>
      </w:r>
    </w:p>
    <w:p w14:paraId="61B6F349">
      <w:pPr>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default" w:ascii="仿宋" w:hAnsi="仿宋" w:eastAsia="仿宋" w:cs="仿宋"/>
          <w:kern w:val="2"/>
          <w:sz w:val="32"/>
          <w:szCs w:val="32"/>
          <w:lang w:val="en-US" w:eastAsia="zh-CN" w:bidi="ar-SA"/>
        </w:rPr>
      </w:pPr>
      <w:r>
        <w:rPr>
          <w:rFonts w:hint="default" w:ascii="仿宋" w:hAnsi="仿宋" w:eastAsia="仿宋" w:cs="仿宋"/>
          <w:kern w:val="2"/>
          <w:sz w:val="32"/>
          <w:szCs w:val="32"/>
          <w:lang w:val="en-US" w:eastAsia="zh-CN" w:bidi="ar-SA"/>
        </w:rPr>
        <w:t>对于水泥行业未来碳排放和碳强度的趋势，根据中国建筑材料科学研究院项目组（2023）的预测，到 2060 年水泥行业碳排放量将在 0.29 亿吨左右（考虑 CCUS 贡献），实现近零排放，而水泥的碳排放强度将下降到 50kg/t。RMI（2022）发布的中国水泥行业碳中和研究报告则指出，2040-2050 期间，替代燃料和 CCUS 将在减排中发挥更大作用，水泥行业将能捕集 30%的 CO2。水泥生产的碳排放量将下降到目前水平的约 1/6 以下，吨水泥与吨熟料水泥的碳强度将下降到目前的一半左右。IEA（2021）的研究表明，在承诺目标情景中，水泥生产的二氧化碳排放总量将从 2020 年的约 13 亿吨下降到 2060 年的约 3000万吨。水泥生产的排放强度将从现在的每吨水泥 0.55 吨二氧化碳，下降到 2060 年的仅 0.03 吨二氧化碳。</w:t>
      </w:r>
    </w:p>
    <w:p w14:paraId="21721BA5">
      <w:pPr>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default" w:ascii="仿宋" w:hAnsi="仿宋" w:eastAsia="仿宋" w:cs="仿宋"/>
          <w:kern w:val="2"/>
          <w:sz w:val="32"/>
          <w:szCs w:val="32"/>
          <w:highlight w:val="yellow"/>
          <w:lang w:val="en-US" w:eastAsia="zh-CN" w:bidi="ar-SA"/>
        </w:rPr>
      </w:pPr>
      <w:r>
        <w:rPr>
          <w:rFonts w:hint="eastAsia" w:ascii="仿宋" w:hAnsi="仿宋" w:eastAsia="仿宋" w:cs="仿宋"/>
          <w:kern w:val="2"/>
          <w:sz w:val="32"/>
          <w:szCs w:val="32"/>
          <w:highlight w:val="yellow"/>
          <w:lang w:val="en-US" w:eastAsia="zh-CN" w:bidi="ar-SA"/>
        </w:rPr>
        <w:t>CGE-2度情景下水泥行业</w:t>
      </w:r>
      <w:r>
        <w:rPr>
          <w:rFonts w:hint="default" w:ascii="仿宋" w:hAnsi="仿宋" w:eastAsia="仿宋" w:cs="仿宋"/>
          <w:kern w:val="2"/>
          <w:sz w:val="32"/>
          <w:szCs w:val="32"/>
          <w:highlight w:val="yellow"/>
          <w:lang w:val="en-US" w:eastAsia="zh-CN" w:bidi="ar-SA"/>
        </w:rPr>
        <w:t>产出变化（相对 2020 年累计变化，%）</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1064"/>
        <w:gridCol w:w="1064"/>
        <w:gridCol w:w="1064"/>
        <w:gridCol w:w="1064"/>
        <w:gridCol w:w="1065"/>
        <w:gridCol w:w="1065"/>
        <w:gridCol w:w="1065"/>
      </w:tblGrid>
      <w:tr w14:paraId="30AB6B6C">
        <w:tc>
          <w:tcPr>
            <w:tcW w:w="1064" w:type="dxa"/>
          </w:tcPr>
          <w:p w14:paraId="508F5B6B">
            <w:pPr>
              <w:pageBreakBefore w:val="0"/>
              <w:widowControl w:val="0"/>
              <w:kinsoku/>
              <w:wordWrap/>
              <w:overflowPunct/>
              <w:topLinePunct w:val="0"/>
              <w:autoSpaceDE/>
              <w:autoSpaceDN/>
              <w:bidi w:val="0"/>
              <w:adjustRightInd/>
              <w:snapToGrid/>
              <w:spacing w:after="0" w:line="560" w:lineRule="exact"/>
              <w:jc w:val="both"/>
              <w:textAlignment w:val="auto"/>
              <w:rPr>
                <w:rFonts w:hint="default" w:ascii="仿宋" w:hAnsi="仿宋" w:eastAsia="仿宋" w:cs="仿宋"/>
                <w:kern w:val="2"/>
                <w:sz w:val="32"/>
                <w:szCs w:val="32"/>
                <w:vertAlign w:val="baseline"/>
                <w:lang w:val="en-US" w:eastAsia="zh-CN" w:bidi="ar-SA"/>
              </w:rPr>
            </w:pPr>
            <w:r>
              <w:rPr>
                <w:rFonts w:hint="eastAsia" w:ascii="仿宋" w:hAnsi="仿宋" w:eastAsia="仿宋" w:cs="仿宋"/>
                <w:kern w:val="2"/>
                <w:sz w:val="32"/>
                <w:szCs w:val="32"/>
                <w:vertAlign w:val="baseline"/>
                <w:lang w:val="en-US" w:eastAsia="zh-CN" w:bidi="ar-SA"/>
              </w:rPr>
              <w:t>水泥行业</w:t>
            </w:r>
          </w:p>
        </w:tc>
        <w:tc>
          <w:tcPr>
            <w:tcW w:w="1064" w:type="dxa"/>
          </w:tcPr>
          <w:p w14:paraId="0D1B1F14">
            <w:pPr>
              <w:pageBreakBefore w:val="0"/>
              <w:widowControl w:val="0"/>
              <w:kinsoku/>
              <w:wordWrap/>
              <w:overflowPunct/>
              <w:topLinePunct w:val="0"/>
              <w:autoSpaceDE/>
              <w:autoSpaceDN/>
              <w:bidi w:val="0"/>
              <w:adjustRightInd/>
              <w:snapToGrid/>
              <w:spacing w:after="0" w:line="560" w:lineRule="exact"/>
              <w:jc w:val="both"/>
              <w:textAlignment w:val="auto"/>
              <w:rPr>
                <w:rFonts w:hint="default" w:ascii="仿宋" w:hAnsi="仿宋" w:eastAsia="仿宋" w:cs="仿宋"/>
                <w:kern w:val="2"/>
                <w:sz w:val="32"/>
                <w:szCs w:val="32"/>
                <w:vertAlign w:val="baseline"/>
                <w:lang w:val="en-US" w:eastAsia="zh-CN" w:bidi="ar-SA"/>
              </w:rPr>
            </w:pPr>
            <w:r>
              <w:rPr>
                <w:rFonts w:hint="eastAsia" w:ascii="仿宋" w:hAnsi="仿宋" w:eastAsia="仿宋" w:cs="仿宋"/>
                <w:kern w:val="2"/>
                <w:sz w:val="32"/>
                <w:szCs w:val="32"/>
                <w:vertAlign w:val="baseline"/>
                <w:lang w:val="en-US" w:eastAsia="zh-CN" w:bidi="ar-SA"/>
              </w:rPr>
              <w:t>2021年</w:t>
            </w:r>
          </w:p>
        </w:tc>
        <w:tc>
          <w:tcPr>
            <w:tcW w:w="1064" w:type="dxa"/>
          </w:tcPr>
          <w:p w14:paraId="58AC2529">
            <w:pPr>
              <w:pageBreakBefore w:val="0"/>
              <w:widowControl w:val="0"/>
              <w:kinsoku/>
              <w:wordWrap/>
              <w:overflowPunct/>
              <w:topLinePunct w:val="0"/>
              <w:autoSpaceDE/>
              <w:autoSpaceDN/>
              <w:bidi w:val="0"/>
              <w:adjustRightInd/>
              <w:snapToGrid/>
              <w:spacing w:after="0" w:line="560" w:lineRule="exact"/>
              <w:jc w:val="both"/>
              <w:textAlignment w:val="auto"/>
              <w:rPr>
                <w:rFonts w:hint="default" w:ascii="仿宋" w:hAnsi="仿宋" w:eastAsia="仿宋" w:cs="仿宋"/>
                <w:kern w:val="2"/>
                <w:sz w:val="32"/>
                <w:szCs w:val="32"/>
                <w:vertAlign w:val="baseline"/>
                <w:lang w:val="en-US" w:eastAsia="zh-CN" w:bidi="ar-SA"/>
              </w:rPr>
            </w:pPr>
            <w:r>
              <w:rPr>
                <w:rFonts w:hint="eastAsia" w:ascii="仿宋" w:hAnsi="仿宋" w:eastAsia="仿宋" w:cs="仿宋"/>
                <w:kern w:val="2"/>
                <w:sz w:val="32"/>
                <w:szCs w:val="32"/>
                <w:vertAlign w:val="baseline"/>
                <w:lang w:val="en-US" w:eastAsia="zh-CN" w:bidi="ar-SA"/>
              </w:rPr>
              <w:t>2025年</w:t>
            </w:r>
          </w:p>
        </w:tc>
        <w:tc>
          <w:tcPr>
            <w:tcW w:w="1064" w:type="dxa"/>
          </w:tcPr>
          <w:p w14:paraId="1B8C64CE">
            <w:pPr>
              <w:pageBreakBefore w:val="0"/>
              <w:widowControl w:val="0"/>
              <w:kinsoku/>
              <w:wordWrap/>
              <w:overflowPunct/>
              <w:topLinePunct w:val="0"/>
              <w:autoSpaceDE/>
              <w:autoSpaceDN/>
              <w:bidi w:val="0"/>
              <w:adjustRightInd/>
              <w:snapToGrid/>
              <w:spacing w:after="0" w:line="560" w:lineRule="exact"/>
              <w:jc w:val="both"/>
              <w:textAlignment w:val="auto"/>
              <w:rPr>
                <w:rFonts w:hint="default" w:ascii="仿宋" w:hAnsi="仿宋" w:eastAsia="仿宋" w:cs="仿宋"/>
                <w:kern w:val="2"/>
                <w:sz w:val="32"/>
                <w:szCs w:val="32"/>
                <w:vertAlign w:val="baseline"/>
                <w:lang w:val="en-US" w:eastAsia="zh-CN" w:bidi="ar-SA"/>
              </w:rPr>
            </w:pPr>
            <w:r>
              <w:rPr>
                <w:rFonts w:hint="eastAsia" w:ascii="仿宋" w:hAnsi="仿宋" w:eastAsia="仿宋" w:cs="仿宋"/>
                <w:kern w:val="2"/>
                <w:sz w:val="32"/>
                <w:szCs w:val="32"/>
                <w:vertAlign w:val="baseline"/>
                <w:lang w:val="en-US" w:eastAsia="zh-CN" w:bidi="ar-SA"/>
              </w:rPr>
              <w:t>2030年</w:t>
            </w:r>
          </w:p>
        </w:tc>
        <w:tc>
          <w:tcPr>
            <w:tcW w:w="1064" w:type="dxa"/>
          </w:tcPr>
          <w:p w14:paraId="08FEDA76">
            <w:pPr>
              <w:pageBreakBefore w:val="0"/>
              <w:widowControl w:val="0"/>
              <w:kinsoku/>
              <w:wordWrap/>
              <w:overflowPunct/>
              <w:topLinePunct w:val="0"/>
              <w:autoSpaceDE/>
              <w:autoSpaceDN/>
              <w:bidi w:val="0"/>
              <w:adjustRightInd/>
              <w:snapToGrid/>
              <w:spacing w:after="0" w:line="560" w:lineRule="exact"/>
              <w:jc w:val="both"/>
              <w:textAlignment w:val="auto"/>
              <w:rPr>
                <w:rFonts w:hint="default" w:ascii="仿宋" w:hAnsi="仿宋" w:eastAsia="仿宋" w:cs="仿宋"/>
                <w:kern w:val="2"/>
                <w:sz w:val="32"/>
                <w:szCs w:val="32"/>
                <w:vertAlign w:val="baseline"/>
                <w:lang w:val="en-US" w:eastAsia="zh-CN" w:bidi="ar-SA"/>
              </w:rPr>
            </w:pPr>
            <w:r>
              <w:rPr>
                <w:rFonts w:hint="eastAsia" w:ascii="仿宋" w:hAnsi="仿宋" w:eastAsia="仿宋" w:cs="仿宋"/>
                <w:kern w:val="2"/>
                <w:sz w:val="32"/>
                <w:szCs w:val="32"/>
                <w:vertAlign w:val="baseline"/>
                <w:lang w:val="en-US" w:eastAsia="zh-CN" w:bidi="ar-SA"/>
              </w:rPr>
              <w:t>2035</w:t>
            </w:r>
          </w:p>
        </w:tc>
        <w:tc>
          <w:tcPr>
            <w:tcW w:w="1065" w:type="dxa"/>
          </w:tcPr>
          <w:p w14:paraId="4C944E90">
            <w:pPr>
              <w:pageBreakBefore w:val="0"/>
              <w:widowControl w:val="0"/>
              <w:kinsoku/>
              <w:wordWrap/>
              <w:overflowPunct/>
              <w:topLinePunct w:val="0"/>
              <w:autoSpaceDE/>
              <w:autoSpaceDN/>
              <w:bidi w:val="0"/>
              <w:adjustRightInd/>
              <w:snapToGrid/>
              <w:spacing w:after="0" w:line="560" w:lineRule="exact"/>
              <w:jc w:val="both"/>
              <w:textAlignment w:val="auto"/>
              <w:rPr>
                <w:rFonts w:hint="default" w:ascii="仿宋" w:hAnsi="仿宋" w:eastAsia="仿宋" w:cs="仿宋"/>
                <w:kern w:val="2"/>
                <w:sz w:val="32"/>
                <w:szCs w:val="32"/>
                <w:vertAlign w:val="baseline"/>
                <w:lang w:val="en-US" w:eastAsia="zh-CN" w:bidi="ar-SA"/>
              </w:rPr>
            </w:pPr>
            <w:r>
              <w:rPr>
                <w:rFonts w:hint="eastAsia" w:ascii="仿宋" w:hAnsi="仿宋" w:eastAsia="仿宋" w:cs="仿宋"/>
                <w:kern w:val="2"/>
                <w:sz w:val="32"/>
                <w:szCs w:val="32"/>
                <w:vertAlign w:val="baseline"/>
                <w:lang w:val="en-US" w:eastAsia="zh-CN" w:bidi="ar-SA"/>
              </w:rPr>
              <w:t>2040</w:t>
            </w:r>
          </w:p>
        </w:tc>
        <w:tc>
          <w:tcPr>
            <w:tcW w:w="1065" w:type="dxa"/>
          </w:tcPr>
          <w:p w14:paraId="75588487">
            <w:pPr>
              <w:pageBreakBefore w:val="0"/>
              <w:widowControl w:val="0"/>
              <w:kinsoku/>
              <w:wordWrap/>
              <w:overflowPunct/>
              <w:topLinePunct w:val="0"/>
              <w:autoSpaceDE/>
              <w:autoSpaceDN/>
              <w:bidi w:val="0"/>
              <w:adjustRightInd/>
              <w:snapToGrid/>
              <w:spacing w:after="0" w:line="560" w:lineRule="exact"/>
              <w:jc w:val="both"/>
              <w:textAlignment w:val="auto"/>
              <w:rPr>
                <w:rFonts w:hint="default" w:ascii="仿宋" w:hAnsi="仿宋" w:eastAsia="仿宋" w:cs="仿宋"/>
                <w:kern w:val="2"/>
                <w:sz w:val="32"/>
                <w:szCs w:val="32"/>
                <w:vertAlign w:val="baseline"/>
                <w:lang w:val="en-US" w:eastAsia="zh-CN" w:bidi="ar-SA"/>
              </w:rPr>
            </w:pPr>
            <w:r>
              <w:rPr>
                <w:rFonts w:hint="eastAsia" w:ascii="仿宋" w:hAnsi="仿宋" w:eastAsia="仿宋" w:cs="仿宋"/>
                <w:kern w:val="2"/>
                <w:sz w:val="32"/>
                <w:szCs w:val="32"/>
                <w:vertAlign w:val="baseline"/>
                <w:lang w:val="en-US" w:eastAsia="zh-CN" w:bidi="ar-SA"/>
              </w:rPr>
              <w:t>2050</w:t>
            </w:r>
          </w:p>
        </w:tc>
        <w:tc>
          <w:tcPr>
            <w:tcW w:w="1065" w:type="dxa"/>
          </w:tcPr>
          <w:p w14:paraId="787A3F86">
            <w:pPr>
              <w:pageBreakBefore w:val="0"/>
              <w:widowControl w:val="0"/>
              <w:kinsoku/>
              <w:wordWrap/>
              <w:overflowPunct/>
              <w:topLinePunct w:val="0"/>
              <w:autoSpaceDE/>
              <w:autoSpaceDN/>
              <w:bidi w:val="0"/>
              <w:adjustRightInd/>
              <w:snapToGrid/>
              <w:spacing w:after="0" w:line="560" w:lineRule="exact"/>
              <w:jc w:val="both"/>
              <w:textAlignment w:val="auto"/>
              <w:rPr>
                <w:rFonts w:hint="default" w:ascii="仿宋" w:hAnsi="仿宋" w:eastAsia="仿宋" w:cs="仿宋"/>
                <w:kern w:val="2"/>
                <w:sz w:val="32"/>
                <w:szCs w:val="32"/>
                <w:vertAlign w:val="baseline"/>
                <w:lang w:val="en-US" w:eastAsia="zh-CN" w:bidi="ar-SA"/>
              </w:rPr>
            </w:pPr>
            <w:r>
              <w:rPr>
                <w:rFonts w:hint="eastAsia" w:ascii="仿宋" w:hAnsi="仿宋" w:eastAsia="仿宋" w:cs="仿宋"/>
                <w:kern w:val="2"/>
                <w:sz w:val="32"/>
                <w:szCs w:val="32"/>
                <w:vertAlign w:val="baseline"/>
                <w:lang w:val="en-US" w:eastAsia="zh-CN" w:bidi="ar-SA"/>
              </w:rPr>
              <w:t>2060</w:t>
            </w:r>
          </w:p>
        </w:tc>
      </w:tr>
      <w:tr w14:paraId="6FFD86CB">
        <w:tc>
          <w:tcPr>
            <w:tcW w:w="1064" w:type="dxa"/>
          </w:tcPr>
          <w:p w14:paraId="6B64DBD2">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ascii="宋体" w:hAnsi="宋体" w:eastAsia="宋体" w:cs="宋体"/>
                <w:kern w:val="0"/>
                <w:sz w:val="24"/>
                <w:szCs w:val="24"/>
                <w:lang w:val="en-US" w:eastAsia="zh-CN" w:bidi="ar"/>
                <w14:ligatures w14:val="standardContextual"/>
              </w:rPr>
              <w:t xml:space="preserve">水泥熟料 </w:t>
            </w:r>
          </w:p>
        </w:tc>
        <w:tc>
          <w:tcPr>
            <w:tcW w:w="1064" w:type="dxa"/>
          </w:tcPr>
          <w:p w14:paraId="64EBE1E0">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 xml:space="preserve">1 </w:t>
            </w:r>
          </w:p>
        </w:tc>
        <w:tc>
          <w:tcPr>
            <w:tcW w:w="1064" w:type="dxa"/>
          </w:tcPr>
          <w:p w14:paraId="25175368">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 xml:space="preserve">35 </w:t>
            </w:r>
          </w:p>
        </w:tc>
        <w:tc>
          <w:tcPr>
            <w:tcW w:w="1064" w:type="dxa"/>
          </w:tcPr>
          <w:p w14:paraId="78D258FF">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 xml:space="preserve">44 </w:t>
            </w:r>
          </w:p>
        </w:tc>
        <w:tc>
          <w:tcPr>
            <w:tcW w:w="1064" w:type="dxa"/>
          </w:tcPr>
          <w:p w14:paraId="14F24B39">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 xml:space="preserve">46 </w:t>
            </w:r>
          </w:p>
        </w:tc>
        <w:tc>
          <w:tcPr>
            <w:tcW w:w="1065" w:type="dxa"/>
          </w:tcPr>
          <w:p w14:paraId="4F9BD00A">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 xml:space="preserve">51 </w:t>
            </w:r>
          </w:p>
        </w:tc>
        <w:tc>
          <w:tcPr>
            <w:tcW w:w="1065" w:type="dxa"/>
          </w:tcPr>
          <w:p w14:paraId="3ED8FE48">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 xml:space="preserve">63 </w:t>
            </w:r>
          </w:p>
        </w:tc>
        <w:tc>
          <w:tcPr>
            <w:tcW w:w="1065" w:type="dxa"/>
          </w:tcPr>
          <w:p w14:paraId="775C7A50">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 xml:space="preserve">73 </w:t>
            </w:r>
          </w:p>
        </w:tc>
      </w:tr>
      <w:tr w14:paraId="5189E723">
        <w:tc>
          <w:tcPr>
            <w:tcW w:w="1064" w:type="dxa"/>
          </w:tcPr>
          <w:p w14:paraId="7F3DB7F5">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ascii="宋体" w:hAnsi="宋体" w:eastAsia="宋体" w:cs="宋体"/>
                <w:kern w:val="0"/>
                <w:sz w:val="24"/>
                <w:szCs w:val="24"/>
                <w:lang w:val="en-US" w:eastAsia="zh-CN" w:bidi="ar"/>
                <w14:ligatures w14:val="standardContextual"/>
              </w:rPr>
              <w:t>水泥制品</w:t>
            </w:r>
          </w:p>
        </w:tc>
        <w:tc>
          <w:tcPr>
            <w:tcW w:w="1064" w:type="dxa"/>
          </w:tcPr>
          <w:p w14:paraId="33759BB0">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4</w:t>
            </w:r>
          </w:p>
        </w:tc>
        <w:tc>
          <w:tcPr>
            <w:tcW w:w="1064" w:type="dxa"/>
            <w:vAlign w:val="top"/>
          </w:tcPr>
          <w:p w14:paraId="0E7F43DC">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 xml:space="preserve">30 </w:t>
            </w:r>
          </w:p>
        </w:tc>
        <w:tc>
          <w:tcPr>
            <w:tcW w:w="1064" w:type="dxa"/>
            <w:vAlign w:val="top"/>
          </w:tcPr>
          <w:p w14:paraId="3A6D048B">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 xml:space="preserve">38 </w:t>
            </w:r>
          </w:p>
        </w:tc>
        <w:tc>
          <w:tcPr>
            <w:tcW w:w="1064" w:type="dxa"/>
            <w:vAlign w:val="top"/>
          </w:tcPr>
          <w:p w14:paraId="4D06073E">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 xml:space="preserve">39 </w:t>
            </w:r>
          </w:p>
        </w:tc>
        <w:tc>
          <w:tcPr>
            <w:tcW w:w="1065" w:type="dxa"/>
            <w:vAlign w:val="top"/>
          </w:tcPr>
          <w:p w14:paraId="715F6B73">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 xml:space="preserve">43 </w:t>
            </w:r>
          </w:p>
        </w:tc>
        <w:tc>
          <w:tcPr>
            <w:tcW w:w="1065" w:type="dxa"/>
            <w:vAlign w:val="top"/>
          </w:tcPr>
          <w:p w14:paraId="34720E91">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 xml:space="preserve">56 </w:t>
            </w:r>
          </w:p>
        </w:tc>
        <w:tc>
          <w:tcPr>
            <w:tcW w:w="1065" w:type="dxa"/>
            <w:vAlign w:val="top"/>
          </w:tcPr>
          <w:p w14:paraId="4AC3CB29">
            <w:pPr>
              <w:keepNext w:val="0"/>
              <w:keepLines w:val="0"/>
              <w:widowControl/>
              <w:suppressLineNumbers w:val="0"/>
              <w:jc w:val="left"/>
              <w:rPr>
                <w:rFonts w:hint="default" w:ascii="仿宋" w:hAnsi="仿宋" w:eastAsia="仿宋" w:cs="仿宋"/>
                <w:kern w:val="2"/>
                <w:sz w:val="32"/>
                <w:szCs w:val="32"/>
                <w:vertAlign w:val="baseline"/>
                <w:lang w:val="en-US" w:eastAsia="zh-CN" w:bidi="ar-SA"/>
              </w:rPr>
            </w:pPr>
            <w:r>
              <w:rPr>
                <w:rFonts w:hint="eastAsia" w:ascii="宋体" w:hAnsi="宋体" w:eastAsia="宋体" w:cs="宋体"/>
                <w:kern w:val="0"/>
                <w:sz w:val="24"/>
                <w:szCs w:val="24"/>
                <w:lang w:val="en-US" w:eastAsia="zh-CN" w:bidi="ar"/>
                <w14:ligatures w14:val="standardContextual"/>
              </w:rPr>
              <w:t>-6</w:t>
            </w:r>
            <w:r>
              <w:rPr>
                <w:rFonts w:ascii="宋体" w:hAnsi="宋体" w:eastAsia="宋体" w:cs="宋体"/>
                <w:kern w:val="0"/>
                <w:sz w:val="24"/>
                <w:szCs w:val="24"/>
                <w:lang w:val="en-US" w:eastAsia="zh-CN" w:bidi="ar"/>
                <w14:ligatures w14:val="standardContextual"/>
              </w:rPr>
              <w:t>6</w:t>
            </w:r>
          </w:p>
        </w:tc>
      </w:tr>
    </w:tbl>
    <w:p w14:paraId="7F6012B8">
      <w:pPr>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default" w:ascii="仿宋" w:hAnsi="仿宋" w:eastAsia="仿宋" w:cs="仿宋"/>
          <w:kern w:val="2"/>
          <w:sz w:val="32"/>
          <w:szCs w:val="32"/>
          <w:lang w:val="en-US" w:eastAsia="zh-CN" w:bidi="ar-SA"/>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1064"/>
        <w:gridCol w:w="1064"/>
        <w:gridCol w:w="1064"/>
        <w:gridCol w:w="1064"/>
        <w:gridCol w:w="1065"/>
        <w:gridCol w:w="1065"/>
        <w:gridCol w:w="1065"/>
      </w:tblGrid>
      <w:tr w14:paraId="25FACD4A">
        <w:tc>
          <w:tcPr>
            <w:tcW w:w="1064" w:type="dxa"/>
            <w:vAlign w:val="top"/>
          </w:tcPr>
          <w:p w14:paraId="6BB5F8AB">
            <w:pPr>
              <w:pageBreakBefore w:val="0"/>
              <w:widowControl w:val="0"/>
              <w:kinsoku/>
              <w:wordWrap/>
              <w:overflowPunct/>
              <w:topLinePunct w:val="0"/>
              <w:autoSpaceDE/>
              <w:autoSpaceDN/>
              <w:bidi w:val="0"/>
              <w:adjustRightInd/>
              <w:snapToGrid/>
              <w:spacing w:after="0" w:line="240" w:lineRule="auto"/>
              <w:jc w:val="left"/>
              <w:textAlignment w:val="auto"/>
              <w:rPr>
                <w:rFonts w:hint="default" w:ascii="仿宋" w:hAnsi="仿宋" w:eastAsia="仿宋" w:cs="仿宋"/>
                <w:kern w:val="2"/>
                <w:sz w:val="22"/>
                <w:szCs w:val="22"/>
                <w:lang w:val="en-US" w:eastAsia="zh-CN" w:bidi="ar-SA"/>
              </w:rPr>
            </w:pPr>
            <w:r>
              <w:rPr>
                <w:rFonts w:hint="eastAsia" w:ascii="仿宋" w:hAnsi="仿宋" w:eastAsia="仿宋" w:cs="仿宋"/>
                <w:kern w:val="2"/>
                <w:sz w:val="22"/>
                <w:szCs w:val="22"/>
                <w:vertAlign w:val="baseline"/>
                <w:lang w:val="en-US" w:eastAsia="zh-CN" w:bidi="ar-SA"/>
              </w:rPr>
              <w:t>水泥行业</w:t>
            </w:r>
          </w:p>
        </w:tc>
        <w:tc>
          <w:tcPr>
            <w:tcW w:w="1064" w:type="dxa"/>
            <w:vAlign w:val="top"/>
          </w:tcPr>
          <w:p w14:paraId="08D4DD6B">
            <w:pPr>
              <w:pageBreakBefore w:val="0"/>
              <w:widowControl w:val="0"/>
              <w:kinsoku/>
              <w:wordWrap/>
              <w:overflowPunct/>
              <w:topLinePunct w:val="0"/>
              <w:autoSpaceDE/>
              <w:autoSpaceDN/>
              <w:bidi w:val="0"/>
              <w:adjustRightInd/>
              <w:snapToGrid/>
              <w:spacing w:after="0" w:line="240" w:lineRule="auto"/>
              <w:jc w:val="left"/>
              <w:textAlignment w:val="auto"/>
              <w:rPr>
                <w:rFonts w:hint="default" w:ascii="仿宋" w:hAnsi="仿宋" w:eastAsia="仿宋" w:cs="仿宋"/>
                <w:kern w:val="2"/>
                <w:sz w:val="22"/>
                <w:szCs w:val="22"/>
                <w:lang w:val="en-US" w:eastAsia="zh-CN" w:bidi="ar-SA"/>
              </w:rPr>
            </w:pPr>
            <w:r>
              <w:rPr>
                <w:rFonts w:hint="eastAsia" w:ascii="仿宋" w:hAnsi="仿宋" w:eastAsia="仿宋" w:cs="仿宋"/>
                <w:kern w:val="2"/>
                <w:sz w:val="22"/>
                <w:szCs w:val="22"/>
                <w:vertAlign w:val="baseline"/>
                <w:lang w:val="en-US" w:eastAsia="zh-CN" w:bidi="ar-SA"/>
              </w:rPr>
              <w:t>2021年</w:t>
            </w:r>
          </w:p>
        </w:tc>
        <w:tc>
          <w:tcPr>
            <w:tcW w:w="1064" w:type="dxa"/>
            <w:vAlign w:val="top"/>
          </w:tcPr>
          <w:p w14:paraId="33C4B088">
            <w:pPr>
              <w:pageBreakBefore w:val="0"/>
              <w:widowControl w:val="0"/>
              <w:kinsoku/>
              <w:wordWrap/>
              <w:overflowPunct/>
              <w:topLinePunct w:val="0"/>
              <w:autoSpaceDE/>
              <w:autoSpaceDN/>
              <w:bidi w:val="0"/>
              <w:adjustRightInd/>
              <w:snapToGrid/>
              <w:spacing w:after="0" w:line="240" w:lineRule="auto"/>
              <w:jc w:val="left"/>
              <w:textAlignment w:val="auto"/>
              <w:rPr>
                <w:rFonts w:hint="default" w:ascii="仿宋" w:hAnsi="仿宋" w:eastAsia="仿宋" w:cs="仿宋"/>
                <w:kern w:val="2"/>
                <w:sz w:val="22"/>
                <w:szCs w:val="22"/>
                <w:lang w:val="en-US" w:eastAsia="zh-CN" w:bidi="ar-SA"/>
              </w:rPr>
            </w:pPr>
            <w:r>
              <w:rPr>
                <w:rFonts w:hint="eastAsia" w:ascii="仿宋" w:hAnsi="仿宋" w:eastAsia="仿宋" w:cs="仿宋"/>
                <w:kern w:val="2"/>
                <w:sz w:val="22"/>
                <w:szCs w:val="22"/>
                <w:vertAlign w:val="baseline"/>
                <w:lang w:val="en-US" w:eastAsia="zh-CN" w:bidi="ar-SA"/>
              </w:rPr>
              <w:t>2025年</w:t>
            </w:r>
          </w:p>
        </w:tc>
        <w:tc>
          <w:tcPr>
            <w:tcW w:w="1064" w:type="dxa"/>
            <w:vAlign w:val="top"/>
          </w:tcPr>
          <w:p w14:paraId="483F4FC0">
            <w:pPr>
              <w:pageBreakBefore w:val="0"/>
              <w:widowControl w:val="0"/>
              <w:kinsoku/>
              <w:wordWrap/>
              <w:overflowPunct/>
              <w:topLinePunct w:val="0"/>
              <w:autoSpaceDE/>
              <w:autoSpaceDN/>
              <w:bidi w:val="0"/>
              <w:adjustRightInd/>
              <w:snapToGrid/>
              <w:spacing w:after="0" w:line="240" w:lineRule="auto"/>
              <w:jc w:val="left"/>
              <w:textAlignment w:val="auto"/>
              <w:rPr>
                <w:rFonts w:hint="default" w:ascii="仿宋" w:hAnsi="仿宋" w:eastAsia="仿宋" w:cs="仿宋"/>
                <w:kern w:val="2"/>
                <w:sz w:val="22"/>
                <w:szCs w:val="22"/>
                <w:lang w:val="en-US" w:eastAsia="zh-CN" w:bidi="ar-SA"/>
              </w:rPr>
            </w:pPr>
            <w:r>
              <w:rPr>
                <w:rFonts w:hint="eastAsia" w:ascii="仿宋" w:hAnsi="仿宋" w:eastAsia="仿宋" w:cs="仿宋"/>
                <w:kern w:val="2"/>
                <w:sz w:val="22"/>
                <w:szCs w:val="22"/>
                <w:vertAlign w:val="baseline"/>
                <w:lang w:val="en-US" w:eastAsia="zh-CN" w:bidi="ar-SA"/>
              </w:rPr>
              <w:t>2030年</w:t>
            </w:r>
          </w:p>
        </w:tc>
        <w:tc>
          <w:tcPr>
            <w:tcW w:w="1064" w:type="dxa"/>
            <w:vAlign w:val="top"/>
          </w:tcPr>
          <w:p w14:paraId="2F0E0AC5">
            <w:pPr>
              <w:pageBreakBefore w:val="0"/>
              <w:widowControl w:val="0"/>
              <w:kinsoku/>
              <w:wordWrap/>
              <w:overflowPunct/>
              <w:topLinePunct w:val="0"/>
              <w:autoSpaceDE/>
              <w:autoSpaceDN/>
              <w:bidi w:val="0"/>
              <w:adjustRightInd/>
              <w:snapToGrid/>
              <w:spacing w:after="0" w:line="240" w:lineRule="auto"/>
              <w:jc w:val="left"/>
              <w:textAlignment w:val="auto"/>
              <w:rPr>
                <w:rFonts w:hint="default" w:ascii="仿宋" w:hAnsi="仿宋" w:eastAsia="仿宋" w:cs="仿宋"/>
                <w:kern w:val="2"/>
                <w:sz w:val="22"/>
                <w:szCs w:val="22"/>
                <w:lang w:val="en-US" w:eastAsia="zh-CN" w:bidi="ar-SA"/>
              </w:rPr>
            </w:pPr>
            <w:r>
              <w:rPr>
                <w:rFonts w:hint="eastAsia" w:ascii="仿宋" w:hAnsi="仿宋" w:eastAsia="仿宋" w:cs="仿宋"/>
                <w:kern w:val="2"/>
                <w:sz w:val="22"/>
                <w:szCs w:val="22"/>
                <w:vertAlign w:val="baseline"/>
                <w:lang w:val="en-US" w:eastAsia="zh-CN" w:bidi="ar-SA"/>
              </w:rPr>
              <w:t>2035</w:t>
            </w:r>
          </w:p>
        </w:tc>
        <w:tc>
          <w:tcPr>
            <w:tcW w:w="1065" w:type="dxa"/>
            <w:vAlign w:val="top"/>
          </w:tcPr>
          <w:p w14:paraId="536C5326">
            <w:pPr>
              <w:pageBreakBefore w:val="0"/>
              <w:widowControl w:val="0"/>
              <w:kinsoku/>
              <w:wordWrap/>
              <w:overflowPunct/>
              <w:topLinePunct w:val="0"/>
              <w:autoSpaceDE/>
              <w:autoSpaceDN/>
              <w:bidi w:val="0"/>
              <w:adjustRightInd/>
              <w:snapToGrid/>
              <w:spacing w:after="0" w:line="240" w:lineRule="auto"/>
              <w:jc w:val="left"/>
              <w:textAlignment w:val="auto"/>
              <w:rPr>
                <w:rFonts w:hint="default" w:ascii="仿宋" w:hAnsi="仿宋" w:eastAsia="仿宋" w:cs="仿宋"/>
                <w:kern w:val="2"/>
                <w:sz w:val="22"/>
                <w:szCs w:val="22"/>
                <w:lang w:val="en-US" w:eastAsia="zh-CN" w:bidi="ar-SA"/>
              </w:rPr>
            </w:pPr>
            <w:r>
              <w:rPr>
                <w:rFonts w:hint="eastAsia" w:ascii="仿宋" w:hAnsi="仿宋" w:eastAsia="仿宋" w:cs="仿宋"/>
                <w:kern w:val="2"/>
                <w:sz w:val="22"/>
                <w:szCs w:val="22"/>
                <w:vertAlign w:val="baseline"/>
                <w:lang w:val="en-US" w:eastAsia="zh-CN" w:bidi="ar-SA"/>
              </w:rPr>
              <w:t>2040</w:t>
            </w:r>
          </w:p>
        </w:tc>
        <w:tc>
          <w:tcPr>
            <w:tcW w:w="1065" w:type="dxa"/>
            <w:vAlign w:val="top"/>
          </w:tcPr>
          <w:p w14:paraId="0AEF2555">
            <w:pPr>
              <w:pageBreakBefore w:val="0"/>
              <w:widowControl w:val="0"/>
              <w:kinsoku/>
              <w:wordWrap/>
              <w:overflowPunct/>
              <w:topLinePunct w:val="0"/>
              <w:autoSpaceDE/>
              <w:autoSpaceDN/>
              <w:bidi w:val="0"/>
              <w:adjustRightInd/>
              <w:snapToGrid/>
              <w:spacing w:after="0" w:line="240" w:lineRule="auto"/>
              <w:jc w:val="left"/>
              <w:textAlignment w:val="auto"/>
              <w:rPr>
                <w:rFonts w:hint="default" w:ascii="仿宋" w:hAnsi="仿宋" w:eastAsia="仿宋" w:cs="仿宋"/>
                <w:kern w:val="2"/>
                <w:sz w:val="22"/>
                <w:szCs w:val="22"/>
                <w:lang w:val="en-US" w:eastAsia="zh-CN" w:bidi="ar-SA"/>
              </w:rPr>
            </w:pPr>
            <w:r>
              <w:rPr>
                <w:rFonts w:hint="eastAsia" w:ascii="仿宋" w:hAnsi="仿宋" w:eastAsia="仿宋" w:cs="仿宋"/>
                <w:kern w:val="2"/>
                <w:sz w:val="22"/>
                <w:szCs w:val="22"/>
                <w:vertAlign w:val="baseline"/>
                <w:lang w:val="en-US" w:eastAsia="zh-CN" w:bidi="ar-SA"/>
              </w:rPr>
              <w:t>2050</w:t>
            </w:r>
          </w:p>
        </w:tc>
        <w:tc>
          <w:tcPr>
            <w:tcW w:w="1065" w:type="dxa"/>
            <w:vAlign w:val="top"/>
          </w:tcPr>
          <w:p w14:paraId="7B8966FE">
            <w:pPr>
              <w:pageBreakBefore w:val="0"/>
              <w:widowControl w:val="0"/>
              <w:kinsoku/>
              <w:wordWrap/>
              <w:overflowPunct/>
              <w:topLinePunct w:val="0"/>
              <w:autoSpaceDE/>
              <w:autoSpaceDN/>
              <w:bidi w:val="0"/>
              <w:adjustRightInd/>
              <w:snapToGrid/>
              <w:spacing w:after="0" w:line="240" w:lineRule="auto"/>
              <w:jc w:val="left"/>
              <w:textAlignment w:val="auto"/>
              <w:rPr>
                <w:rFonts w:hint="default" w:ascii="仿宋" w:hAnsi="仿宋" w:eastAsia="仿宋" w:cs="仿宋"/>
                <w:kern w:val="2"/>
                <w:sz w:val="22"/>
                <w:szCs w:val="22"/>
                <w:lang w:val="en-US" w:eastAsia="zh-CN" w:bidi="ar-SA"/>
              </w:rPr>
            </w:pPr>
            <w:r>
              <w:rPr>
                <w:rFonts w:hint="eastAsia" w:ascii="仿宋" w:hAnsi="仿宋" w:eastAsia="仿宋" w:cs="仿宋"/>
                <w:kern w:val="2"/>
                <w:sz w:val="22"/>
                <w:szCs w:val="22"/>
                <w:vertAlign w:val="baseline"/>
                <w:lang w:val="en-US" w:eastAsia="zh-CN" w:bidi="ar-SA"/>
              </w:rPr>
              <w:t>2060</w:t>
            </w:r>
          </w:p>
        </w:tc>
      </w:tr>
      <w:tr w14:paraId="13970A90">
        <w:tc>
          <w:tcPr>
            <w:tcW w:w="1064" w:type="dxa"/>
          </w:tcPr>
          <w:p w14:paraId="121A7E7B">
            <w:pPr>
              <w:pageBreakBefore w:val="0"/>
              <w:widowControl w:val="0"/>
              <w:kinsoku/>
              <w:wordWrap/>
              <w:overflowPunct/>
              <w:topLinePunct w:val="0"/>
              <w:autoSpaceDE/>
              <w:autoSpaceDN/>
              <w:bidi w:val="0"/>
              <w:adjustRightInd/>
              <w:snapToGrid/>
              <w:spacing w:after="0" w:line="240" w:lineRule="auto"/>
              <w:ind w:firstLine="440" w:firstLineChars="200"/>
              <w:jc w:val="left"/>
              <w:textAlignment w:val="auto"/>
              <w:rPr>
                <w:sz w:val="18"/>
                <w:szCs w:val="20"/>
              </w:rPr>
            </w:pPr>
            <w:r>
              <w:rPr>
                <w:rFonts w:hint="default" w:ascii="仿宋" w:hAnsi="仿宋" w:eastAsia="仿宋" w:cs="仿宋"/>
                <w:kern w:val="2"/>
                <w:sz w:val="22"/>
                <w:szCs w:val="22"/>
                <w:lang w:val="en-US" w:eastAsia="zh-CN" w:bidi="ar-SA"/>
              </w:rPr>
              <w:t>水泥工业过程二氧化碳排放（亿吨）</w:t>
            </w:r>
          </w:p>
        </w:tc>
        <w:tc>
          <w:tcPr>
            <w:tcW w:w="1064" w:type="dxa"/>
          </w:tcPr>
          <w:p w14:paraId="2AFA4CE3">
            <w:pPr>
              <w:pageBreakBefore w:val="0"/>
              <w:widowControl w:val="0"/>
              <w:kinsoku/>
              <w:wordWrap/>
              <w:overflowPunct/>
              <w:topLinePunct w:val="0"/>
              <w:autoSpaceDE/>
              <w:autoSpaceDN/>
              <w:bidi w:val="0"/>
              <w:adjustRightInd/>
              <w:snapToGrid/>
              <w:spacing w:after="0" w:line="240" w:lineRule="auto"/>
              <w:jc w:val="left"/>
              <w:textAlignment w:val="auto"/>
              <w:rPr>
                <w:sz w:val="18"/>
                <w:szCs w:val="20"/>
              </w:rPr>
            </w:pPr>
            <w:r>
              <w:rPr>
                <w:rFonts w:hint="default" w:ascii="仿宋" w:hAnsi="仿宋" w:eastAsia="仿宋" w:cs="仿宋"/>
                <w:kern w:val="2"/>
                <w:sz w:val="22"/>
                <w:szCs w:val="22"/>
                <w:lang w:val="en-US" w:eastAsia="zh-CN" w:bidi="ar-SA"/>
              </w:rPr>
              <w:t>10</w:t>
            </w:r>
          </w:p>
        </w:tc>
        <w:tc>
          <w:tcPr>
            <w:tcW w:w="1064" w:type="dxa"/>
          </w:tcPr>
          <w:p w14:paraId="02AFD843">
            <w:pPr>
              <w:pageBreakBefore w:val="0"/>
              <w:widowControl w:val="0"/>
              <w:kinsoku/>
              <w:wordWrap/>
              <w:overflowPunct/>
              <w:topLinePunct w:val="0"/>
              <w:autoSpaceDE/>
              <w:autoSpaceDN/>
              <w:bidi w:val="0"/>
              <w:adjustRightInd/>
              <w:snapToGrid/>
              <w:spacing w:after="0" w:line="240" w:lineRule="auto"/>
              <w:ind w:firstLine="440" w:firstLineChars="200"/>
              <w:jc w:val="left"/>
              <w:textAlignment w:val="auto"/>
              <w:rPr>
                <w:sz w:val="18"/>
                <w:szCs w:val="20"/>
              </w:rPr>
            </w:pPr>
            <w:r>
              <w:rPr>
                <w:rFonts w:hint="default" w:ascii="仿宋" w:hAnsi="仿宋" w:eastAsia="仿宋" w:cs="仿宋"/>
                <w:kern w:val="2"/>
                <w:sz w:val="22"/>
                <w:szCs w:val="22"/>
                <w:lang w:val="en-US" w:eastAsia="zh-CN" w:bidi="ar-SA"/>
              </w:rPr>
              <w:t>6</w:t>
            </w:r>
          </w:p>
        </w:tc>
        <w:tc>
          <w:tcPr>
            <w:tcW w:w="1064" w:type="dxa"/>
          </w:tcPr>
          <w:p w14:paraId="174BE21A">
            <w:pPr>
              <w:pageBreakBefore w:val="0"/>
              <w:widowControl w:val="0"/>
              <w:kinsoku/>
              <w:wordWrap/>
              <w:overflowPunct/>
              <w:topLinePunct w:val="0"/>
              <w:autoSpaceDE/>
              <w:autoSpaceDN/>
              <w:bidi w:val="0"/>
              <w:adjustRightInd/>
              <w:snapToGrid/>
              <w:spacing w:after="0" w:line="240" w:lineRule="auto"/>
              <w:ind w:firstLine="440" w:firstLineChars="200"/>
              <w:jc w:val="left"/>
              <w:textAlignment w:val="auto"/>
              <w:rPr>
                <w:sz w:val="18"/>
                <w:szCs w:val="20"/>
              </w:rPr>
            </w:pPr>
            <w:r>
              <w:rPr>
                <w:rFonts w:hint="default" w:ascii="仿宋" w:hAnsi="仿宋" w:eastAsia="仿宋" w:cs="仿宋"/>
                <w:kern w:val="2"/>
                <w:sz w:val="22"/>
                <w:szCs w:val="22"/>
                <w:lang w:val="en-US" w:eastAsia="zh-CN" w:bidi="ar-SA"/>
              </w:rPr>
              <w:t>5</w:t>
            </w:r>
          </w:p>
        </w:tc>
        <w:tc>
          <w:tcPr>
            <w:tcW w:w="1064" w:type="dxa"/>
          </w:tcPr>
          <w:p w14:paraId="652EABFC">
            <w:pPr>
              <w:pageBreakBefore w:val="0"/>
              <w:widowControl w:val="0"/>
              <w:kinsoku/>
              <w:wordWrap/>
              <w:overflowPunct/>
              <w:topLinePunct w:val="0"/>
              <w:autoSpaceDE/>
              <w:autoSpaceDN/>
              <w:bidi w:val="0"/>
              <w:adjustRightInd/>
              <w:snapToGrid/>
              <w:spacing w:after="0" w:line="240" w:lineRule="auto"/>
              <w:ind w:firstLine="440" w:firstLineChars="200"/>
              <w:jc w:val="left"/>
              <w:textAlignment w:val="auto"/>
              <w:rPr>
                <w:sz w:val="18"/>
                <w:szCs w:val="20"/>
              </w:rPr>
            </w:pPr>
            <w:r>
              <w:rPr>
                <w:rFonts w:hint="default" w:ascii="仿宋" w:hAnsi="仿宋" w:eastAsia="仿宋" w:cs="仿宋"/>
                <w:kern w:val="2"/>
                <w:sz w:val="22"/>
                <w:szCs w:val="22"/>
                <w:lang w:val="en-US" w:eastAsia="zh-CN" w:bidi="ar-SA"/>
              </w:rPr>
              <w:t>4</w:t>
            </w:r>
          </w:p>
        </w:tc>
        <w:tc>
          <w:tcPr>
            <w:tcW w:w="1065" w:type="dxa"/>
          </w:tcPr>
          <w:p w14:paraId="0BB50F64">
            <w:pPr>
              <w:pageBreakBefore w:val="0"/>
              <w:widowControl w:val="0"/>
              <w:kinsoku/>
              <w:wordWrap/>
              <w:overflowPunct/>
              <w:topLinePunct w:val="0"/>
              <w:autoSpaceDE/>
              <w:autoSpaceDN/>
              <w:bidi w:val="0"/>
              <w:adjustRightInd/>
              <w:snapToGrid/>
              <w:spacing w:after="0" w:line="240" w:lineRule="auto"/>
              <w:ind w:firstLine="440" w:firstLineChars="200"/>
              <w:jc w:val="left"/>
              <w:textAlignment w:val="auto"/>
              <w:rPr>
                <w:sz w:val="18"/>
                <w:szCs w:val="20"/>
              </w:rPr>
            </w:pPr>
            <w:r>
              <w:rPr>
                <w:rFonts w:hint="default" w:ascii="仿宋" w:hAnsi="仿宋" w:eastAsia="仿宋" w:cs="仿宋"/>
                <w:kern w:val="2"/>
                <w:sz w:val="22"/>
                <w:szCs w:val="22"/>
                <w:lang w:val="en-US" w:eastAsia="zh-CN" w:bidi="ar-SA"/>
              </w:rPr>
              <w:t>3</w:t>
            </w:r>
          </w:p>
        </w:tc>
        <w:tc>
          <w:tcPr>
            <w:tcW w:w="1065" w:type="dxa"/>
          </w:tcPr>
          <w:p w14:paraId="730BC3ED">
            <w:pPr>
              <w:pageBreakBefore w:val="0"/>
              <w:widowControl w:val="0"/>
              <w:kinsoku/>
              <w:wordWrap/>
              <w:overflowPunct/>
              <w:topLinePunct w:val="0"/>
              <w:autoSpaceDE/>
              <w:autoSpaceDN/>
              <w:bidi w:val="0"/>
              <w:adjustRightInd/>
              <w:snapToGrid/>
              <w:spacing w:after="0" w:line="240" w:lineRule="auto"/>
              <w:ind w:firstLine="440" w:firstLineChars="200"/>
              <w:jc w:val="left"/>
              <w:textAlignment w:val="auto"/>
              <w:rPr>
                <w:sz w:val="18"/>
                <w:szCs w:val="20"/>
              </w:rPr>
            </w:pPr>
            <w:r>
              <w:rPr>
                <w:rFonts w:hint="default" w:ascii="仿宋" w:hAnsi="仿宋" w:eastAsia="仿宋" w:cs="仿宋"/>
                <w:kern w:val="2"/>
                <w:sz w:val="22"/>
                <w:szCs w:val="22"/>
                <w:lang w:val="en-US" w:eastAsia="zh-CN" w:bidi="ar-SA"/>
              </w:rPr>
              <w:t>1</w:t>
            </w:r>
          </w:p>
        </w:tc>
        <w:tc>
          <w:tcPr>
            <w:tcW w:w="1065" w:type="dxa"/>
          </w:tcPr>
          <w:p w14:paraId="7C99A9EB">
            <w:pPr>
              <w:pageBreakBefore w:val="0"/>
              <w:widowControl w:val="0"/>
              <w:kinsoku/>
              <w:wordWrap/>
              <w:overflowPunct/>
              <w:topLinePunct w:val="0"/>
              <w:autoSpaceDE/>
              <w:autoSpaceDN/>
              <w:bidi w:val="0"/>
              <w:adjustRightInd/>
              <w:snapToGrid/>
              <w:spacing w:after="0" w:line="240" w:lineRule="auto"/>
              <w:ind w:firstLine="440" w:firstLineChars="200"/>
              <w:jc w:val="left"/>
              <w:textAlignment w:val="auto"/>
              <w:rPr>
                <w:sz w:val="18"/>
                <w:szCs w:val="20"/>
              </w:rPr>
            </w:pPr>
            <w:r>
              <w:rPr>
                <w:rFonts w:hint="default" w:ascii="仿宋" w:hAnsi="仿宋" w:eastAsia="仿宋" w:cs="仿宋"/>
                <w:kern w:val="2"/>
                <w:sz w:val="22"/>
                <w:szCs w:val="22"/>
                <w:lang w:val="en-US" w:eastAsia="zh-CN" w:bidi="ar-SA"/>
              </w:rPr>
              <w:t>0</w:t>
            </w:r>
          </w:p>
        </w:tc>
      </w:tr>
    </w:tbl>
    <w:p w14:paraId="54479120">
      <w:pPr>
        <w:pStyle w:val="10"/>
        <w:rPr>
          <w:rFonts w:hint="eastAsia"/>
          <w:lang w:eastAsia="zh-CN"/>
        </w:rPr>
      </w:pPr>
      <w:r>
        <w:rPr>
          <w:rFonts w:hint="eastAsia"/>
        </w:rPr>
        <w:t>在</w:t>
      </w:r>
      <w:r>
        <w:rPr>
          <w:rFonts w:hint="eastAsia"/>
          <w:lang w:val="en-US" w:eastAsia="zh-CN"/>
        </w:rPr>
        <w:t>CGE</w:t>
      </w:r>
      <w:r>
        <w:rPr>
          <w:rFonts w:hint="eastAsia"/>
        </w:rPr>
        <w:t>研究设定的 2 度情景下，我国水泥产量总体呈现持续降低趋势。其中，历史期数据显示，水泥总产量已从 2020 年的 23.9 亿吨下降至 2024 年的 18.3 亿吨，年均下降为 6.5%；而在短期内，总产量将持续下降至 2030 年的 13.4 亿吨，年均下降 5.1%；在中期内，总产量将继续下降至 2035年的 12.9 亿吨，年均下降 3.1%；在长期内，总产量将下降至 2060 年的 6.5 亿吨，年均下降 2.8%</w:t>
      </w:r>
      <w:r>
        <w:rPr>
          <w:rFonts w:hint="eastAsia"/>
          <w:lang w:eastAsia="zh-CN"/>
        </w:rPr>
        <w:t>。</w:t>
      </w:r>
    </w:p>
    <w:p w14:paraId="53BABE89">
      <w:pPr>
        <w:pStyle w:val="10"/>
        <w:rPr>
          <w:rFonts w:hint="eastAsia"/>
          <w:lang w:eastAsia="zh-CN"/>
        </w:rPr>
      </w:pPr>
      <w:r>
        <w:rPr>
          <w:rFonts w:hint="eastAsia"/>
          <w:lang w:eastAsia="zh-CN"/>
        </w:rPr>
        <w:drawing>
          <wp:inline distT="0" distB="0" distL="114300" distR="114300">
            <wp:extent cx="5264785" cy="2632710"/>
            <wp:effectExtent l="0" t="0" r="18415" b="8890"/>
            <wp:docPr id="1" name="图片 1" descr="截屏2026-04-06 下午11.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4-06 下午11.18.28"/>
                    <pic:cNvPicPr>
                      <a:picLocks noChangeAspect="1"/>
                    </pic:cNvPicPr>
                  </pic:nvPicPr>
                  <pic:blipFill>
                    <a:blip r:embed="rId7"/>
                    <a:stretch>
                      <a:fillRect/>
                    </a:stretch>
                  </pic:blipFill>
                  <pic:spPr>
                    <a:xfrm>
                      <a:off x="0" y="0"/>
                      <a:ext cx="5264785" cy="2632710"/>
                    </a:xfrm>
                    <a:prstGeom prst="rect">
                      <a:avLst/>
                    </a:prstGeom>
                  </pic:spPr>
                </pic:pic>
              </a:graphicData>
            </a:graphic>
          </wp:inline>
        </w:drawing>
      </w:r>
    </w:p>
    <w:p w14:paraId="1E7FDEA3">
      <w:pPr>
        <w:pStyle w:val="10"/>
        <w:rPr>
          <w:rFonts w:hint="eastAsia"/>
          <w:lang w:val="en-US" w:eastAsia="zh-CN"/>
        </w:rPr>
      </w:pPr>
      <w:r>
        <w:rPr>
          <w:rFonts w:hint="eastAsia"/>
        </w:rPr>
        <w:t>在</w:t>
      </w:r>
      <w:r>
        <w:rPr>
          <w:rFonts w:hint="eastAsia"/>
          <w:lang w:val="en-US" w:eastAsia="zh-CN"/>
        </w:rPr>
        <w:t>IFS-CGE模型</w:t>
      </w:r>
      <w:r>
        <w:rPr>
          <w:rFonts w:hint="eastAsia"/>
        </w:rPr>
        <w:t>设定的 2 度情景下，我国水泥行业总排放从 2020 年的 14.9 亿吨下降至 2024年的 10.8 亿吨，随后继续下降，分别下降至 2030 年的 7.1 亿吨，2035 年的 5.8 亿吨以及 2060 年的约 0.6亿吨。水泥生产的单位碳排放强度将从 2024 年的 0.59tCO2/t 下降至 2030 年的 0.53tCO2/t、2035 年的0.45tCO2/t 和 2060 年的 0.09tCO2/t，2024 年至 2060 年水泥碳强度的年均复合下降率为 5.2%。需要说明的是，</w:t>
      </w:r>
      <w:r>
        <w:rPr>
          <w:rFonts w:hint="eastAsia"/>
          <w:lang w:val="en-US" w:eastAsia="zh-CN"/>
        </w:rPr>
        <w:t>IFS CGE</w:t>
      </w:r>
      <w:r>
        <w:rPr>
          <w:rFonts w:hint="eastAsia"/>
        </w:rPr>
        <w:t>暂未考虑水泥 CCUS 等负碳技术。根据中国碳中和目标下的工业低碳技术展望（2025）预测，2060 年水泥 CCUS 技术带来的碳捕集量接近 3 亿吨，这意味着，考虑水泥 CCUS 技术的情况下，水泥行业可以在 2060</w:t>
      </w:r>
      <w:r>
        <w:rPr>
          <w:rFonts w:hint="eastAsia"/>
          <w:lang w:val="en-US" w:eastAsia="zh-CN"/>
        </w:rPr>
        <w:t>实现碳中和。</w:t>
      </w:r>
    </w:p>
    <w:p w14:paraId="4445BECC">
      <w:pPr>
        <w:pStyle w:val="10"/>
        <w:rPr>
          <w:rFonts w:hint="default"/>
          <w:lang w:val="en-US" w:eastAsia="zh-CN"/>
        </w:rPr>
      </w:pPr>
      <w:r>
        <w:rPr>
          <w:rFonts w:hint="eastAsia"/>
          <w:lang w:val="en-US" w:eastAsia="zh-CN"/>
        </w:rPr>
        <w:t>CGE模型2度情景水泥行业碳强度预测</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1"/>
        <w:gridCol w:w="2376"/>
        <w:gridCol w:w="2309"/>
        <w:gridCol w:w="3140"/>
      </w:tblGrid>
      <w:tr w14:paraId="7763400B">
        <w:trPr>
          <w:tblHeader/>
        </w:trPr>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4631D729">
            <w:pPr>
              <w:keepNext w:val="0"/>
              <w:keepLines w:val="0"/>
              <w:widowControl/>
              <w:suppressLineNumbers w:val="0"/>
              <w:spacing w:line="240" w:lineRule="auto"/>
              <w:jc w:val="left"/>
              <w:rPr>
                <w:b/>
                <w:bCs/>
              </w:rPr>
            </w:pPr>
            <w:r>
              <w:rPr>
                <w:rFonts w:ascii="宋体" w:hAnsi="宋体" w:eastAsia="宋体" w:cs="宋体"/>
                <w:b/>
                <w:bCs/>
                <w:kern w:val="0"/>
                <w:sz w:val="24"/>
                <w:szCs w:val="24"/>
                <w:lang w:val="en-US" w:eastAsia="zh-CN" w:bidi="ar"/>
                <w14:ligatures w14:val="standardContextual"/>
              </w:rPr>
              <w:t>时间</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0404A63D">
            <w:pPr>
              <w:keepNext w:val="0"/>
              <w:keepLines w:val="0"/>
              <w:widowControl/>
              <w:suppressLineNumbers w:val="0"/>
              <w:spacing w:line="240" w:lineRule="auto"/>
              <w:jc w:val="left"/>
              <w:rPr>
                <w:b/>
                <w:bCs/>
              </w:rPr>
            </w:pPr>
            <w:r>
              <w:rPr>
                <w:rFonts w:ascii="宋体" w:hAnsi="宋体" w:eastAsia="宋体" w:cs="宋体"/>
                <w:b/>
                <w:bCs/>
                <w:kern w:val="0"/>
                <w:sz w:val="24"/>
                <w:szCs w:val="24"/>
                <w:lang w:val="en-US" w:eastAsia="zh-CN" w:bidi="ar"/>
                <w14:ligatures w14:val="standardContextual"/>
              </w:rPr>
              <w:t>碳排放强度（tCO₂/t）</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2E5AC66E">
            <w:pPr>
              <w:keepNext w:val="0"/>
              <w:keepLines w:val="0"/>
              <w:widowControl/>
              <w:suppressLineNumbers w:val="0"/>
              <w:spacing w:line="240" w:lineRule="auto"/>
              <w:jc w:val="left"/>
              <w:rPr>
                <w:b/>
                <w:bCs/>
              </w:rPr>
            </w:pPr>
            <w:r>
              <w:rPr>
                <w:rFonts w:ascii="宋体" w:hAnsi="宋体" w:eastAsia="宋体" w:cs="宋体"/>
                <w:b/>
                <w:bCs/>
                <w:kern w:val="0"/>
                <w:sz w:val="24"/>
                <w:szCs w:val="24"/>
                <w:lang w:val="en-US" w:eastAsia="zh-CN" w:bidi="ar"/>
                <w14:ligatures w14:val="standardContextual"/>
              </w:rPr>
              <w:t>碳排放强度变化率（%）</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4BC8CCC9">
            <w:pPr>
              <w:keepNext w:val="0"/>
              <w:keepLines w:val="0"/>
              <w:widowControl/>
              <w:suppressLineNumbers w:val="0"/>
              <w:spacing w:line="240" w:lineRule="auto"/>
              <w:jc w:val="left"/>
              <w:rPr>
                <w:b/>
                <w:bCs/>
              </w:rPr>
            </w:pPr>
            <w:r>
              <w:rPr>
                <w:rFonts w:ascii="宋体" w:hAnsi="宋体" w:eastAsia="宋体" w:cs="宋体"/>
                <w:b/>
                <w:bCs/>
                <w:kern w:val="0"/>
                <w:sz w:val="24"/>
                <w:szCs w:val="24"/>
                <w:lang w:val="en-US" w:eastAsia="zh-CN" w:bidi="ar"/>
                <w14:ligatures w14:val="standardContextual"/>
              </w:rPr>
              <w:t>碳排放强度较 2024 年变化率（%）</w:t>
            </w:r>
          </w:p>
        </w:tc>
      </w:tr>
      <w:tr w14:paraId="136EB3C2">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36E2C3F5">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2020</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E8012CD">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0.622</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3B1B538B">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3FFD60D1">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w:t>
            </w:r>
          </w:p>
        </w:tc>
      </w:tr>
      <w:tr w14:paraId="5A67FFE2">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54081F9A">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2024</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3867EB4E">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0.589</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4BAAEA54">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1D4DC2F5">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w:t>
            </w:r>
          </w:p>
        </w:tc>
      </w:tr>
      <w:tr w14:paraId="6689C7C4">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8BA2FB7">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2025</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129160F5">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0.581</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3BDFF4A4">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-1.4</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2AB13782">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-1.4</w:t>
            </w:r>
          </w:p>
        </w:tc>
      </w:tr>
      <w:tr w14:paraId="4278056F">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0DCFBD4B">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2026</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5614468D">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0.571</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1AEC28E3">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-1.7</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339E793E">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-3.1</w:t>
            </w:r>
          </w:p>
        </w:tc>
      </w:tr>
      <w:tr w14:paraId="3DD1013B">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3AC66A8E">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2027</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2FEE8FE5">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0.561</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613DF35">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-1.8</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222C6A50">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-4.8</w:t>
            </w:r>
          </w:p>
        </w:tc>
      </w:tr>
      <w:tr w14:paraId="5A310152">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2738A53">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2028</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577503E">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0.551</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1679BC2B">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-1.8</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3124D600">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-6.5</w:t>
            </w:r>
          </w:p>
        </w:tc>
      </w:tr>
      <w:tr w14:paraId="4537D9FF">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7DCBB76">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2029</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3363EEDB">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0.541</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58306044">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-1.8</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16806007">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-8.2</w:t>
            </w:r>
          </w:p>
        </w:tc>
      </w:tr>
      <w:tr w14:paraId="4290E2EC">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2902A31">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2030</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3F992965">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0.531</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46BB2080">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-1.9</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22018B04">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-9.9</w:t>
            </w:r>
          </w:p>
        </w:tc>
      </w:tr>
      <w:tr w14:paraId="73FC0D5D">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ED67672">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2031</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2F11F2AC">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0.515</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0FBD98F7">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-3.0</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D3E5D50">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-12.6</w:t>
            </w:r>
          </w:p>
        </w:tc>
      </w:tr>
      <w:tr w14:paraId="2D857880">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B2DCE5A">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2032</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5A25D2F2">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0.500</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4B560ED4">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-3.1</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4A987D9B">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-15.2</w:t>
            </w:r>
          </w:p>
        </w:tc>
      </w:tr>
      <w:tr w14:paraId="42BC41A4">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4406D376">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2033</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1F5DE2CC">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0.484</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F7E4822">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-3.1</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2139BFF1">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-17.9</w:t>
            </w:r>
          </w:p>
        </w:tc>
      </w:tr>
      <w:tr w14:paraId="70A24548">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5BECE86A">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2034</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A63D995">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0.468</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2ECED508">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-3.3</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0C477734">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-20.6</w:t>
            </w:r>
          </w:p>
        </w:tc>
      </w:tr>
      <w:tr w14:paraId="38FFE07C">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4838E354">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2035</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2697B95">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0.453</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12DE0980">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-3.4</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50B0BFC0">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-23.2</w:t>
            </w:r>
          </w:p>
        </w:tc>
      </w:tr>
      <w:tr w14:paraId="506AD53F">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A1E8975">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2040</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5A5C41DD">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0.398</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F81B5AE">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-2.5</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52077649">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-32.4</w:t>
            </w:r>
          </w:p>
        </w:tc>
      </w:tr>
      <w:tr w14:paraId="11295954">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4BAA077">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2045</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562AE27">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0.319</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5FC2CCB2">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-4.4</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97383F0">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-46.0</w:t>
            </w:r>
          </w:p>
        </w:tc>
      </w:tr>
      <w:tr w14:paraId="18D08599">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1CA5D6E7">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2050</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49DECCD1">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0.231</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58D55ABF">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-6.2</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B4D3756">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-60.7</w:t>
            </w:r>
          </w:p>
        </w:tc>
      </w:tr>
      <w:tr w14:paraId="6BD1A540">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30E7E203">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2055</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F805CBC">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0.150</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94E5AD7">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-8.3</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2DB92447">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-74.6</w:t>
            </w:r>
          </w:p>
        </w:tc>
      </w:tr>
      <w:tr w14:paraId="122BB590">
        <w:tc>
          <w:tcPr>
            <w:tcW w:w="464"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160F08F">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2060</w:t>
            </w:r>
          </w:p>
        </w:tc>
        <w:tc>
          <w:tcPr>
            <w:tcW w:w="1377"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6EFA8E3">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0.085</w:t>
            </w:r>
          </w:p>
        </w:tc>
        <w:tc>
          <w:tcPr>
            <w:tcW w:w="1338"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6FCFDB2">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-10.7</w:t>
            </w:r>
          </w:p>
        </w:tc>
        <w:tc>
          <w:tcPr>
            <w:tcW w:w="1819" w:type="pct"/>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18640F6D">
            <w:pPr>
              <w:keepNext w:val="0"/>
              <w:keepLines w:val="0"/>
              <w:widowControl/>
              <w:suppressLineNumbers w:val="0"/>
              <w:spacing w:line="240" w:lineRule="auto"/>
              <w:jc w:val="left"/>
            </w:pPr>
            <w:r>
              <w:rPr>
                <w:rFonts w:ascii="宋体" w:hAnsi="宋体" w:eastAsia="宋体" w:cs="宋体"/>
                <w:kern w:val="0"/>
                <w:sz w:val="24"/>
                <w:szCs w:val="24"/>
                <w:lang w:val="en-US" w:eastAsia="zh-CN" w:bidi="ar"/>
                <w14:ligatures w14:val="standardContextual"/>
              </w:rPr>
              <w:t>-85.5</w:t>
            </w:r>
          </w:p>
        </w:tc>
      </w:tr>
    </w:tbl>
    <w:p w14:paraId="7C47F0A2">
      <w:pPr>
        <w:pStyle w:val="10"/>
        <w:rPr>
          <w:rFonts w:hint="default"/>
          <w:lang w:val="en-US" w:eastAsia="zh-CN"/>
        </w:rPr>
      </w:pPr>
      <w:r>
        <w:rPr>
          <w:rFonts w:hint="default"/>
          <w:lang w:val="en-US" w:eastAsia="zh-CN"/>
        </w:rPr>
        <w:t>（1）碳排放强度变化率类型：2030 年前为较上一年度的变化率（逐年变化）；2035-2060 年为 5年期年复合变化率 (CAGR)；（2）本表为 2 度情景下高碳行业的减碳路径结</w:t>
      </w:r>
    </w:p>
    <w:p w14:paraId="79FCCEB0">
      <w:pPr>
        <w:pStyle w:val="10"/>
        <w:rPr>
          <w:rFonts w:hint="eastAsia"/>
        </w:rPr>
      </w:pPr>
      <w:r>
        <w:rPr>
          <w:rFonts w:hint="eastAsia"/>
        </w:rPr>
        <w:t>水泥行业减排思路和关键技术</w:t>
      </w:r>
    </w:p>
    <w:p w14:paraId="5BBA4DBA">
      <w:pPr>
        <w:widowControl w:val="0"/>
        <w:spacing w:after="0" w:line="560" w:lineRule="exact"/>
        <w:ind w:firstLine="640" w:firstLineChars="200"/>
        <w:jc w:val="both"/>
        <w:rPr>
          <w:rFonts w:hint="eastAsia" w:ascii="仿宋" w:hAnsi="仿宋" w:eastAsia="仿宋" w:cs="仿宋"/>
          <w:b/>
          <w:bCs/>
          <w:kern w:val="2"/>
          <w:sz w:val="28"/>
          <w:szCs w:val="28"/>
          <w:lang w:eastAsia="zh-CN"/>
        </w:rPr>
      </w:pPr>
      <w:r>
        <w:rPr>
          <w:rFonts w:hint="eastAsia" w:ascii="仿宋" w:hAnsi="仿宋" w:eastAsia="仿宋" w:cs="仿宋"/>
          <w:kern w:val="2"/>
          <w:sz w:val="32"/>
          <w:szCs w:val="32"/>
          <w:lang w:eastAsia="zh-CN"/>
        </w:rPr>
        <w:t>水泥生产的工艺种类较为单一，减排思路明确。参考欧洲、美国等经济体水泥行业碳减排历程，水泥行业减排主要通过四个途径实现：低碳水泥、绿色能源及燃料替代、能效提升、碳捕集封存和利用。</w:t>
      </w:r>
    </w:p>
    <w:p w14:paraId="1544C226">
      <w:pPr>
        <w:widowControl w:val="0"/>
        <w:spacing w:after="0" w:line="560" w:lineRule="exact"/>
        <w:jc w:val="center"/>
        <w:rPr>
          <w:rFonts w:hint="eastAsia" w:ascii="仿宋" w:hAnsi="仿宋" w:eastAsia="仿宋" w:cs="仿宋"/>
          <w:b/>
          <w:bCs/>
          <w:kern w:val="2"/>
          <w:sz w:val="28"/>
          <w:szCs w:val="28"/>
          <w:lang w:eastAsia="zh-CN"/>
        </w:rPr>
      </w:pPr>
      <w:r>
        <w:rPr>
          <w:rFonts w:hint="eastAsia" w:ascii="仿宋" w:hAnsi="仿宋" w:eastAsia="仿宋" w:cs="仿宋"/>
          <w:b/>
          <w:bCs/>
          <w:kern w:val="2"/>
          <w:sz w:val="28"/>
          <w:szCs w:val="28"/>
          <w:lang w:eastAsia="zh-CN"/>
        </w:rPr>
        <w:t>表</w:t>
      </w:r>
      <w:r>
        <w:rPr>
          <w:rFonts w:hint="eastAsia" w:ascii="仿宋" w:hAnsi="仿宋" w:eastAsia="仿宋" w:cs="仿宋"/>
          <w:b/>
          <w:bCs/>
          <w:kern w:val="2"/>
          <w:sz w:val="28"/>
          <w:szCs w:val="28"/>
          <w:lang w:eastAsia="zh-CN"/>
        </w:rPr>
        <w:fldChar w:fldCharType="begin"/>
      </w:r>
      <w:r>
        <w:rPr>
          <w:rFonts w:hint="eastAsia" w:ascii="仿宋" w:hAnsi="仿宋" w:eastAsia="仿宋" w:cs="仿宋"/>
          <w:b/>
          <w:bCs/>
          <w:kern w:val="2"/>
          <w:sz w:val="28"/>
          <w:szCs w:val="28"/>
          <w:lang w:eastAsia="zh-CN"/>
        </w:rPr>
        <w:instrText xml:space="preserve"> SEQ 表 \* ARABIC </w:instrText>
      </w:r>
      <w:r>
        <w:rPr>
          <w:rFonts w:hint="eastAsia" w:ascii="仿宋" w:hAnsi="仿宋" w:eastAsia="仿宋" w:cs="仿宋"/>
          <w:b/>
          <w:bCs/>
          <w:kern w:val="2"/>
          <w:sz w:val="28"/>
          <w:szCs w:val="28"/>
          <w:lang w:eastAsia="zh-CN"/>
        </w:rPr>
        <w:fldChar w:fldCharType="separate"/>
      </w:r>
      <w:r>
        <w:rPr>
          <w:rFonts w:hint="eastAsia" w:ascii="仿宋" w:hAnsi="仿宋" w:eastAsia="仿宋" w:cs="仿宋"/>
          <w:b/>
          <w:bCs/>
          <w:kern w:val="2"/>
          <w:sz w:val="28"/>
          <w:szCs w:val="28"/>
          <w:lang w:eastAsia="zh-CN"/>
        </w:rPr>
        <w:t>13</w:t>
      </w:r>
      <w:r>
        <w:rPr>
          <w:rFonts w:hint="eastAsia" w:ascii="仿宋" w:hAnsi="仿宋" w:eastAsia="仿宋" w:cs="仿宋"/>
          <w:b/>
          <w:bCs/>
          <w:kern w:val="2"/>
          <w:sz w:val="28"/>
          <w:szCs w:val="28"/>
          <w:lang w:eastAsia="zh-CN"/>
        </w:rPr>
        <w:fldChar w:fldCharType="end"/>
      </w:r>
      <w:r>
        <w:rPr>
          <w:rFonts w:hint="eastAsia" w:ascii="仿宋" w:hAnsi="仿宋" w:eastAsia="仿宋" w:cs="仿宋"/>
          <w:b/>
          <w:bCs/>
          <w:kern w:val="2"/>
          <w:sz w:val="28"/>
          <w:szCs w:val="28"/>
          <w:lang w:eastAsia="zh-CN"/>
        </w:rPr>
        <w:t xml:space="preserve"> 水泥行业减排路径</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925"/>
        <w:gridCol w:w="1590"/>
        <w:gridCol w:w="3149"/>
        <w:gridCol w:w="2536"/>
      </w:tblGrid>
      <w:tr w14:paraId="513B1E90">
        <w:trPr>
          <w:tblHeader/>
          <w:jc w:val="center"/>
        </w:trPr>
        <w:tc>
          <w:tcPr>
            <w:tcW w:w="925" w:type="dxa"/>
            <w:shd w:val="clear" w:color="auto" w:fill="BEBEBE" w:themeFill="background1" w:themeFillShade="BF"/>
            <w:tcMar>
              <w:top w:w="160" w:type="dxa"/>
              <w:left w:w="160" w:type="dxa"/>
              <w:bottom w:w="160" w:type="dxa"/>
              <w:right w:w="160" w:type="dxa"/>
            </w:tcMar>
            <w:vAlign w:val="center"/>
          </w:tcPr>
          <w:p w14:paraId="09D8DCA9">
            <w:pPr>
              <w:widowControl w:val="0"/>
              <w:spacing w:after="0" w:line="240" w:lineRule="auto"/>
              <w:jc w:val="center"/>
              <w:rPr>
                <w:rFonts w:hint="eastAsia" w:ascii="仿宋" w:hAnsi="仿宋" w:eastAsia="仿宋" w:cs="仿宋"/>
                <w:b/>
                <w:bCs/>
                <w:kern w:val="2"/>
                <w:sz w:val="24"/>
                <w:szCs w:val="24"/>
                <w:lang w:eastAsia="zh-CN"/>
              </w:rPr>
            </w:pPr>
            <w:r>
              <w:rPr>
                <w:rFonts w:hint="eastAsia" w:ascii="仿宋" w:hAnsi="仿宋" w:eastAsia="仿宋" w:cs="仿宋"/>
                <w:b/>
                <w:bCs/>
                <w:kern w:val="2"/>
                <w:sz w:val="24"/>
                <w:szCs w:val="24"/>
                <w:lang w:eastAsia="zh-CN"/>
              </w:rPr>
              <w:t>减排路径</w:t>
            </w:r>
          </w:p>
        </w:tc>
        <w:tc>
          <w:tcPr>
            <w:tcW w:w="1590" w:type="dxa"/>
            <w:shd w:val="clear" w:color="auto" w:fill="BEBEBE" w:themeFill="background1" w:themeFillShade="BF"/>
            <w:tcMar>
              <w:top w:w="160" w:type="dxa"/>
              <w:left w:w="160" w:type="dxa"/>
              <w:bottom w:w="160" w:type="dxa"/>
              <w:right w:w="160" w:type="dxa"/>
            </w:tcMar>
            <w:vAlign w:val="center"/>
          </w:tcPr>
          <w:p w14:paraId="5F96035A">
            <w:pPr>
              <w:widowControl w:val="0"/>
              <w:spacing w:after="0" w:line="240" w:lineRule="auto"/>
              <w:jc w:val="center"/>
              <w:rPr>
                <w:rFonts w:hint="eastAsia" w:ascii="仿宋" w:hAnsi="仿宋" w:eastAsia="仿宋" w:cs="仿宋"/>
                <w:b/>
                <w:bCs/>
                <w:kern w:val="2"/>
                <w:sz w:val="24"/>
                <w:szCs w:val="24"/>
                <w:lang w:eastAsia="zh-CN"/>
              </w:rPr>
            </w:pPr>
            <w:r>
              <w:rPr>
                <w:rFonts w:hint="eastAsia" w:ascii="仿宋" w:hAnsi="仿宋" w:eastAsia="仿宋" w:cs="仿宋"/>
                <w:b/>
                <w:bCs/>
                <w:kern w:val="2"/>
                <w:sz w:val="24"/>
                <w:szCs w:val="24"/>
                <w:lang w:eastAsia="zh-CN"/>
              </w:rPr>
              <w:t>核心方法</w:t>
            </w:r>
          </w:p>
        </w:tc>
        <w:tc>
          <w:tcPr>
            <w:tcW w:w="3149" w:type="dxa"/>
            <w:shd w:val="clear" w:color="auto" w:fill="BEBEBE" w:themeFill="background1" w:themeFillShade="BF"/>
            <w:tcMar>
              <w:top w:w="160" w:type="dxa"/>
              <w:left w:w="160" w:type="dxa"/>
              <w:bottom w:w="160" w:type="dxa"/>
              <w:right w:w="160" w:type="dxa"/>
            </w:tcMar>
            <w:vAlign w:val="center"/>
          </w:tcPr>
          <w:p w14:paraId="190B8A3C">
            <w:pPr>
              <w:widowControl w:val="0"/>
              <w:spacing w:after="0" w:line="240" w:lineRule="auto"/>
              <w:jc w:val="center"/>
              <w:rPr>
                <w:rFonts w:hint="eastAsia" w:ascii="仿宋" w:hAnsi="仿宋" w:eastAsia="仿宋" w:cs="仿宋"/>
                <w:b/>
                <w:bCs/>
                <w:kern w:val="2"/>
                <w:sz w:val="24"/>
                <w:szCs w:val="24"/>
                <w:lang w:eastAsia="zh-CN"/>
              </w:rPr>
            </w:pPr>
            <w:r>
              <w:rPr>
                <w:rFonts w:hint="eastAsia" w:ascii="仿宋" w:hAnsi="仿宋" w:eastAsia="仿宋" w:cs="仿宋"/>
                <w:b/>
                <w:bCs/>
                <w:kern w:val="2"/>
                <w:sz w:val="24"/>
                <w:szCs w:val="24"/>
                <w:lang w:eastAsia="zh-CN"/>
              </w:rPr>
              <w:t>关键技术 / 措施</w:t>
            </w:r>
          </w:p>
        </w:tc>
        <w:tc>
          <w:tcPr>
            <w:tcW w:w="2536" w:type="dxa"/>
            <w:shd w:val="clear" w:color="auto" w:fill="BEBEBE" w:themeFill="background1" w:themeFillShade="BF"/>
            <w:tcMar>
              <w:top w:w="160" w:type="dxa"/>
              <w:left w:w="160" w:type="dxa"/>
              <w:bottom w:w="160" w:type="dxa"/>
              <w:right w:w="160" w:type="dxa"/>
            </w:tcMar>
            <w:vAlign w:val="center"/>
          </w:tcPr>
          <w:p w14:paraId="6AC2E0E8">
            <w:pPr>
              <w:widowControl w:val="0"/>
              <w:spacing w:after="0" w:line="240" w:lineRule="auto"/>
              <w:jc w:val="center"/>
              <w:rPr>
                <w:rFonts w:hint="eastAsia" w:ascii="仿宋" w:hAnsi="仿宋" w:eastAsia="仿宋" w:cs="仿宋"/>
                <w:b/>
                <w:bCs/>
                <w:kern w:val="2"/>
                <w:sz w:val="24"/>
                <w:szCs w:val="24"/>
                <w:lang w:eastAsia="zh-CN"/>
              </w:rPr>
            </w:pPr>
            <w:r>
              <w:rPr>
                <w:rFonts w:hint="eastAsia" w:ascii="仿宋" w:hAnsi="仿宋" w:eastAsia="仿宋" w:cs="仿宋"/>
                <w:b/>
                <w:bCs/>
                <w:kern w:val="2"/>
                <w:sz w:val="24"/>
                <w:szCs w:val="24"/>
                <w:lang w:eastAsia="zh-CN"/>
              </w:rPr>
              <w:t>现状与挑战</w:t>
            </w:r>
          </w:p>
        </w:tc>
      </w:tr>
      <w:tr w14:paraId="343612CE">
        <w:trPr>
          <w:jc w:val="center"/>
        </w:trPr>
        <w:tc>
          <w:tcPr>
            <w:tcW w:w="925" w:type="dxa"/>
            <w:tcMar>
              <w:top w:w="160" w:type="dxa"/>
              <w:left w:w="160" w:type="dxa"/>
              <w:bottom w:w="160" w:type="dxa"/>
              <w:right w:w="160" w:type="dxa"/>
            </w:tcMar>
            <w:vAlign w:val="center"/>
          </w:tcPr>
          <w:p w14:paraId="641064EF">
            <w:pPr>
              <w:widowControl w:val="0"/>
              <w:spacing w:after="0" w:line="240" w:lineRule="auto"/>
              <w:jc w:val="center"/>
              <w:rPr>
                <w:rFonts w:hint="eastAsia" w:ascii="仿宋" w:hAnsi="仿宋" w:eastAsia="仿宋" w:cs="仿宋"/>
                <w:b/>
                <w:bCs/>
                <w:kern w:val="2"/>
                <w:sz w:val="21"/>
                <w:szCs w:val="21"/>
                <w:lang w:eastAsia="zh-CN"/>
              </w:rPr>
            </w:pPr>
            <w:r>
              <w:rPr>
                <w:rFonts w:hint="eastAsia" w:ascii="仿宋" w:hAnsi="仿宋" w:eastAsia="仿宋" w:cs="仿宋"/>
                <w:b/>
                <w:bCs/>
                <w:kern w:val="2"/>
                <w:sz w:val="21"/>
                <w:szCs w:val="21"/>
                <w:lang w:eastAsia="zh-CN"/>
              </w:rPr>
              <w:t>低碳水泥</w:t>
            </w:r>
          </w:p>
        </w:tc>
        <w:tc>
          <w:tcPr>
            <w:tcW w:w="1590" w:type="dxa"/>
            <w:tcMar>
              <w:top w:w="160" w:type="dxa"/>
              <w:left w:w="160" w:type="dxa"/>
              <w:bottom w:w="160" w:type="dxa"/>
              <w:right w:w="160" w:type="dxa"/>
            </w:tcMar>
            <w:vAlign w:val="center"/>
          </w:tcPr>
          <w:p w14:paraId="63FD10DE">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kern w:val="2"/>
                <w:sz w:val="21"/>
                <w:szCs w:val="21"/>
                <w:lang w:eastAsia="zh-CN"/>
              </w:rPr>
              <w:t>调整水泥结构，降低熟料系数，从源头减少石灰石煅烧带来的过程碳排放</w:t>
            </w:r>
          </w:p>
        </w:tc>
        <w:tc>
          <w:tcPr>
            <w:tcW w:w="3149" w:type="dxa"/>
            <w:tcMar>
              <w:top w:w="160" w:type="dxa"/>
              <w:left w:w="160" w:type="dxa"/>
              <w:bottom w:w="160" w:type="dxa"/>
              <w:right w:w="160" w:type="dxa"/>
            </w:tcMar>
            <w:vAlign w:val="center"/>
          </w:tcPr>
          <w:p w14:paraId="7E7D1200">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b/>
                <w:bCs/>
                <w:kern w:val="2"/>
                <w:sz w:val="21"/>
                <w:szCs w:val="21"/>
                <w:lang w:eastAsia="zh-CN"/>
              </w:rPr>
              <w:t>新型低碳水泥熟料技术</w:t>
            </w:r>
            <w:r>
              <w:rPr>
                <w:rFonts w:hint="eastAsia" w:ascii="仿宋" w:hAnsi="仿宋" w:eastAsia="仿宋" w:cs="仿宋"/>
                <w:kern w:val="2"/>
                <w:sz w:val="21"/>
                <w:szCs w:val="21"/>
                <w:lang w:eastAsia="zh-CN"/>
              </w:rPr>
              <w:t>：高贝利特、硫铝酸盐和铁铝酸盐水泥熟料技术；</w:t>
            </w:r>
          </w:p>
          <w:p w14:paraId="1F2885C9">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b/>
                <w:bCs/>
                <w:kern w:val="2"/>
                <w:sz w:val="21"/>
                <w:szCs w:val="21"/>
                <w:lang w:eastAsia="zh-CN"/>
              </w:rPr>
              <w:t>无 / 少熟料水泥制备技术</w:t>
            </w:r>
            <w:r>
              <w:rPr>
                <w:rFonts w:hint="eastAsia" w:ascii="仿宋" w:hAnsi="仿宋" w:eastAsia="仿宋" w:cs="仿宋"/>
                <w:kern w:val="2"/>
                <w:sz w:val="21"/>
                <w:szCs w:val="21"/>
                <w:lang w:eastAsia="zh-CN"/>
              </w:rPr>
              <w:t>：大掺量固废制备无 / 少熟料水泥技术。</w:t>
            </w:r>
          </w:p>
        </w:tc>
        <w:tc>
          <w:tcPr>
            <w:tcW w:w="2536" w:type="dxa"/>
            <w:tcMar>
              <w:top w:w="160" w:type="dxa"/>
              <w:left w:w="160" w:type="dxa"/>
              <w:bottom w:w="160" w:type="dxa"/>
              <w:right w:w="160" w:type="dxa"/>
            </w:tcMar>
            <w:vAlign w:val="center"/>
          </w:tcPr>
          <w:p w14:paraId="70A12631">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kern w:val="2"/>
                <w:sz w:val="21"/>
                <w:szCs w:val="21"/>
                <w:lang w:eastAsia="zh-CN"/>
              </w:rPr>
              <w:t>现状：国内熟料系数可低至 0.60，处于世界前列；水泥行业已推广多项煅烧优化技术；</w:t>
            </w:r>
          </w:p>
          <w:p w14:paraId="71430C26">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kern w:val="2"/>
                <w:sz w:val="21"/>
                <w:szCs w:val="21"/>
                <w:lang w:eastAsia="zh-CN"/>
              </w:rPr>
              <w:t>挑战：低碳原料替代总量有限，新型低碳水泥在早强性能、成本等方面与传统硅酸盐水泥仍存在差距，推广需下游建筑标准配合。</w:t>
            </w:r>
          </w:p>
        </w:tc>
      </w:tr>
      <w:tr w14:paraId="5ED663AA">
        <w:trPr>
          <w:jc w:val="center"/>
        </w:trPr>
        <w:tc>
          <w:tcPr>
            <w:tcW w:w="925" w:type="dxa"/>
            <w:tcMar>
              <w:top w:w="160" w:type="dxa"/>
              <w:left w:w="160" w:type="dxa"/>
              <w:bottom w:w="160" w:type="dxa"/>
              <w:right w:w="160" w:type="dxa"/>
            </w:tcMar>
            <w:vAlign w:val="center"/>
          </w:tcPr>
          <w:p w14:paraId="197C2C33">
            <w:pPr>
              <w:widowControl w:val="0"/>
              <w:spacing w:after="0" w:line="240" w:lineRule="auto"/>
              <w:jc w:val="center"/>
              <w:rPr>
                <w:rFonts w:hint="eastAsia" w:ascii="仿宋" w:hAnsi="仿宋" w:eastAsia="仿宋" w:cs="仿宋"/>
                <w:b/>
                <w:bCs/>
                <w:kern w:val="2"/>
                <w:sz w:val="21"/>
                <w:szCs w:val="21"/>
                <w:lang w:eastAsia="zh-CN"/>
              </w:rPr>
            </w:pPr>
            <w:r>
              <w:rPr>
                <w:rFonts w:hint="eastAsia" w:ascii="仿宋" w:hAnsi="仿宋" w:eastAsia="仿宋" w:cs="仿宋"/>
                <w:b/>
                <w:bCs/>
                <w:kern w:val="2"/>
                <w:sz w:val="21"/>
                <w:szCs w:val="21"/>
                <w:lang w:eastAsia="zh-CN"/>
              </w:rPr>
              <w:t>绿色能源及燃料替代</w:t>
            </w:r>
          </w:p>
        </w:tc>
        <w:tc>
          <w:tcPr>
            <w:tcW w:w="1590" w:type="dxa"/>
            <w:tcMar>
              <w:top w:w="160" w:type="dxa"/>
              <w:left w:w="160" w:type="dxa"/>
              <w:bottom w:w="160" w:type="dxa"/>
              <w:right w:w="160" w:type="dxa"/>
            </w:tcMar>
            <w:vAlign w:val="center"/>
          </w:tcPr>
          <w:p w14:paraId="4BB85F51">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kern w:val="2"/>
                <w:sz w:val="21"/>
                <w:szCs w:val="21"/>
                <w:lang w:eastAsia="zh-CN"/>
              </w:rPr>
              <w:t>用生物质、固废、清洁电力代替传统煤炭化石燃料，用含钙废渣替代石灰石原料，减少化石能源依赖</w:t>
            </w:r>
          </w:p>
        </w:tc>
        <w:tc>
          <w:tcPr>
            <w:tcW w:w="3149" w:type="dxa"/>
            <w:tcMar>
              <w:top w:w="160" w:type="dxa"/>
              <w:left w:w="160" w:type="dxa"/>
              <w:bottom w:w="160" w:type="dxa"/>
              <w:right w:w="160" w:type="dxa"/>
            </w:tcMar>
            <w:vAlign w:val="center"/>
          </w:tcPr>
          <w:p w14:paraId="7B2D8881">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b/>
                <w:bCs/>
                <w:kern w:val="2"/>
                <w:sz w:val="21"/>
                <w:szCs w:val="21"/>
                <w:lang w:eastAsia="zh-CN"/>
              </w:rPr>
              <w:t>零购电改造技术</w:t>
            </w:r>
            <w:r>
              <w:rPr>
                <w:rFonts w:hint="eastAsia" w:ascii="仿宋" w:hAnsi="仿宋" w:eastAsia="仿宋" w:cs="仿宋"/>
                <w:kern w:val="2"/>
                <w:sz w:val="21"/>
                <w:szCs w:val="21"/>
                <w:lang w:eastAsia="zh-CN"/>
              </w:rPr>
              <w:t>：水泥工厂余热发电与新能源微网耦合技术；</w:t>
            </w:r>
          </w:p>
          <w:p w14:paraId="1CDAB427">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b/>
                <w:bCs/>
                <w:kern w:val="2"/>
                <w:sz w:val="21"/>
                <w:szCs w:val="21"/>
                <w:lang w:eastAsia="zh-CN"/>
              </w:rPr>
              <w:t>化石能源替代技术</w:t>
            </w:r>
            <w:r>
              <w:rPr>
                <w:rFonts w:hint="eastAsia" w:ascii="仿宋" w:hAnsi="仿宋" w:eastAsia="仿宋" w:cs="仿宋"/>
                <w:kern w:val="2"/>
                <w:sz w:val="21"/>
                <w:szCs w:val="21"/>
                <w:lang w:eastAsia="zh-CN"/>
              </w:rPr>
              <w:t>：熟料烧成利用生活垃圾、生物质废弃物替代化石燃料技术；</w:t>
            </w:r>
          </w:p>
          <w:p w14:paraId="0D3DF63E">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b/>
                <w:bCs/>
                <w:kern w:val="2"/>
                <w:sz w:val="21"/>
                <w:szCs w:val="21"/>
                <w:lang w:eastAsia="zh-CN"/>
              </w:rPr>
              <w:t>原料替代技术</w:t>
            </w:r>
            <w:r>
              <w:rPr>
                <w:rFonts w:hint="eastAsia" w:ascii="仿宋" w:hAnsi="仿宋" w:eastAsia="仿宋" w:cs="仿宋"/>
                <w:kern w:val="2"/>
                <w:sz w:val="21"/>
                <w:szCs w:val="21"/>
                <w:lang w:eastAsia="zh-CN"/>
              </w:rPr>
              <w:t>：电石渣等全部或部分替代石灰石原料技术。</w:t>
            </w:r>
          </w:p>
        </w:tc>
        <w:tc>
          <w:tcPr>
            <w:tcW w:w="2536" w:type="dxa"/>
            <w:tcMar>
              <w:top w:w="160" w:type="dxa"/>
              <w:left w:w="160" w:type="dxa"/>
              <w:bottom w:w="160" w:type="dxa"/>
              <w:right w:w="160" w:type="dxa"/>
            </w:tcMar>
            <w:vAlign w:val="center"/>
          </w:tcPr>
          <w:p w14:paraId="1D1C533C">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kern w:val="2"/>
                <w:sz w:val="21"/>
                <w:szCs w:val="21"/>
                <w:lang w:eastAsia="zh-CN"/>
              </w:rPr>
              <w:t>现状：欧洲替代率近 50%，国内平均替代率不足 5%；水泥窑协同处置项目逐步落地；</w:t>
            </w:r>
          </w:p>
          <w:p w14:paraId="62B1ECCD">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kern w:val="2"/>
                <w:sz w:val="21"/>
                <w:szCs w:val="21"/>
                <w:lang w:eastAsia="zh-CN"/>
              </w:rPr>
              <w:t>挑战：受限于现有窑炉技术改造难度大、废弃物收储分类体系不完善、替代燃料热值不稳定性限制。</w:t>
            </w:r>
          </w:p>
        </w:tc>
      </w:tr>
      <w:tr w14:paraId="0289707A">
        <w:trPr>
          <w:jc w:val="center"/>
        </w:trPr>
        <w:tc>
          <w:tcPr>
            <w:tcW w:w="925" w:type="dxa"/>
            <w:tcMar>
              <w:top w:w="160" w:type="dxa"/>
              <w:left w:w="160" w:type="dxa"/>
              <w:bottom w:w="160" w:type="dxa"/>
              <w:right w:w="160" w:type="dxa"/>
            </w:tcMar>
            <w:vAlign w:val="center"/>
          </w:tcPr>
          <w:p w14:paraId="61BA5FE0">
            <w:pPr>
              <w:widowControl w:val="0"/>
              <w:spacing w:after="0" w:line="240" w:lineRule="auto"/>
              <w:jc w:val="center"/>
              <w:rPr>
                <w:rFonts w:hint="eastAsia" w:ascii="仿宋" w:hAnsi="仿宋" w:eastAsia="仿宋" w:cs="仿宋"/>
                <w:b/>
                <w:bCs/>
                <w:kern w:val="2"/>
                <w:sz w:val="21"/>
                <w:szCs w:val="21"/>
                <w:lang w:eastAsia="zh-CN"/>
              </w:rPr>
            </w:pPr>
            <w:r>
              <w:rPr>
                <w:rFonts w:hint="eastAsia" w:ascii="仿宋" w:hAnsi="仿宋" w:eastAsia="仿宋" w:cs="仿宋"/>
                <w:b/>
                <w:bCs/>
                <w:kern w:val="2"/>
                <w:sz w:val="21"/>
                <w:szCs w:val="21"/>
                <w:lang w:eastAsia="zh-CN"/>
              </w:rPr>
              <w:t>能效提升</w:t>
            </w:r>
          </w:p>
        </w:tc>
        <w:tc>
          <w:tcPr>
            <w:tcW w:w="1590" w:type="dxa"/>
            <w:tcMar>
              <w:top w:w="160" w:type="dxa"/>
              <w:left w:w="160" w:type="dxa"/>
              <w:bottom w:w="160" w:type="dxa"/>
              <w:right w:w="160" w:type="dxa"/>
            </w:tcMar>
            <w:vAlign w:val="center"/>
          </w:tcPr>
          <w:p w14:paraId="45FCFC86">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kern w:val="2"/>
                <w:sz w:val="21"/>
                <w:szCs w:val="21"/>
                <w:lang w:eastAsia="zh-CN"/>
              </w:rPr>
              <w:t>优化系统热工控制、升级关键节能装备、推进全流程智能管控，降低单位产品综合能耗；优化生产流程，减少能源浪费</w:t>
            </w:r>
          </w:p>
        </w:tc>
        <w:tc>
          <w:tcPr>
            <w:tcW w:w="3149" w:type="dxa"/>
            <w:tcMar>
              <w:top w:w="160" w:type="dxa"/>
              <w:left w:w="160" w:type="dxa"/>
              <w:bottom w:w="160" w:type="dxa"/>
              <w:right w:w="160" w:type="dxa"/>
            </w:tcMar>
            <w:vAlign w:val="center"/>
          </w:tcPr>
          <w:p w14:paraId="15708CF4">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b/>
                <w:bCs/>
                <w:kern w:val="2"/>
                <w:sz w:val="21"/>
                <w:szCs w:val="21"/>
                <w:lang w:eastAsia="zh-CN"/>
              </w:rPr>
              <w:t>数字化智能化技术</w:t>
            </w:r>
            <w:r>
              <w:rPr>
                <w:rFonts w:hint="eastAsia" w:ascii="仿宋" w:hAnsi="仿宋" w:eastAsia="仿宋" w:cs="仿宋"/>
                <w:kern w:val="2"/>
                <w:sz w:val="21"/>
                <w:szCs w:val="21"/>
                <w:lang w:eastAsia="zh-CN"/>
              </w:rPr>
              <w:t>：水泥工厂全流程智能管控技术；</w:t>
            </w:r>
          </w:p>
          <w:p w14:paraId="19DC322D">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b/>
                <w:bCs/>
                <w:kern w:val="2"/>
                <w:sz w:val="21"/>
                <w:szCs w:val="21"/>
                <w:lang w:eastAsia="zh-CN"/>
              </w:rPr>
              <w:t>预热分解集成技术</w:t>
            </w:r>
            <w:r>
              <w:rPr>
                <w:rFonts w:hint="eastAsia" w:ascii="仿宋" w:hAnsi="仿宋" w:eastAsia="仿宋" w:cs="仿宋"/>
                <w:kern w:val="2"/>
                <w:sz w:val="21"/>
                <w:szCs w:val="21"/>
                <w:lang w:eastAsia="zh-CN"/>
              </w:rPr>
              <w:t>：第四代高效低碳中置辊破冷却机等预热分解系统集成技术；</w:t>
            </w:r>
          </w:p>
          <w:p w14:paraId="2F7DB167">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b/>
                <w:bCs/>
                <w:kern w:val="2"/>
                <w:sz w:val="21"/>
                <w:szCs w:val="21"/>
                <w:lang w:eastAsia="zh-CN"/>
              </w:rPr>
              <w:t>粉磨节能降碳技术</w:t>
            </w:r>
            <w:r>
              <w:rPr>
                <w:rFonts w:hint="eastAsia" w:ascii="仿宋" w:hAnsi="仿宋" w:eastAsia="仿宋" w:cs="仿宋"/>
                <w:kern w:val="2"/>
                <w:sz w:val="21"/>
                <w:szCs w:val="21"/>
                <w:lang w:eastAsia="zh-CN"/>
              </w:rPr>
              <w:t>：立式磨、辊压机生料终粉磨等粉磨节能技术；</w:t>
            </w:r>
          </w:p>
          <w:p w14:paraId="040B9A15">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b/>
                <w:bCs/>
                <w:kern w:val="2"/>
                <w:sz w:val="21"/>
                <w:szCs w:val="21"/>
                <w:lang w:eastAsia="zh-CN"/>
              </w:rPr>
              <w:t>耐火材料提升技术</w:t>
            </w:r>
            <w:r>
              <w:rPr>
                <w:rFonts w:hint="eastAsia" w:ascii="仿宋" w:hAnsi="仿宋" w:eastAsia="仿宋" w:cs="仿宋"/>
                <w:kern w:val="2"/>
                <w:sz w:val="21"/>
                <w:szCs w:val="21"/>
                <w:lang w:eastAsia="zh-CN"/>
              </w:rPr>
              <w:t>：水泥窑炉用节能耐火材料升级技术；</w:t>
            </w:r>
          </w:p>
          <w:p w14:paraId="4C22CD0D">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b/>
                <w:bCs/>
                <w:kern w:val="2"/>
                <w:sz w:val="21"/>
                <w:szCs w:val="21"/>
                <w:lang w:eastAsia="zh-CN"/>
              </w:rPr>
              <w:t>输送计量降碳技术</w:t>
            </w:r>
            <w:r>
              <w:rPr>
                <w:rFonts w:hint="eastAsia" w:ascii="仿宋" w:hAnsi="仿宋" w:eastAsia="仿宋" w:cs="仿宋"/>
                <w:kern w:val="2"/>
                <w:sz w:val="21"/>
                <w:szCs w:val="21"/>
                <w:lang w:eastAsia="zh-CN"/>
              </w:rPr>
              <w:t>：工业用提升机及计量降碳技术。</w:t>
            </w:r>
          </w:p>
        </w:tc>
        <w:tc>
          <w:tcPr>
            <w:tcW w:w="2536" w:type="dxa"/>
            <w:tcMar>
              <w:top w:w="160" w:type="dxa"/>
              <w:left w:w="160" w:type="dxa"/>
              <w:bottom w:w="160" w:type="dxa"/>
              <w:right w:w="160" w:type="dxa"/>
            </w:tcMar>
            <w:vAlign w:val="center"/>
          </w:tcPr>
          <w:p w14:paraId="6E21591E">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kern w:val="2"/>
                <w:sz w:val="21"/>
                <w:szCs w:val="21"/>
                <w:lang w:eastAsia="zh-CN"/>
              </w:rPr>
              <w:t>现状：我国平均吨熟料能耗已处于国际领先地位；玻璃行业熔制能效逐步优化；</w:t>
            </w:r>
          </w:p>
          <w:p w14:paraId="1064B53C">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kern w:val="2"/>
                <w:sz w:val="21"/>
                <w:szCs w:val="21"/>
                <w:lang w:eastAsia="zh-CN"/>
              </w:rPr>
              <w:t>挑战：全行业进一步压降单耗的边际空间逐步变小，改造重点和资金需求主要集中在存量落后产能的超低排放与能效标杆改造。</w:t>
            </w:r>
          </w:p>
        </w:tc>
      </w:tr>
      <w:tr w14:paraId="18710B0F">
        <w:trPr>
          <w:jc w:val="center"/>
        </w:trPr>
        <w:tc>
          <w:tcPr>
            <w:tcW w:w="925" w:type="dxa"/>
            <w:tcMar>
              <w:top w:w="160" w:type="dxa"/>
              <w:left w:w="160" w:type="dxa"/>
              <w:bottom w:w="160" w:type="dxa"/>
              <w:right w:w="160" w:type="dxa"/>
            </w:tcMar>
            <w:vAlign w:val="center"/>
          </w:tcPr>
          <w:p w14:paraId="6DACBC34">
            <w:pPr>
              <w:widowControl w:val="0"/>
              <w:spacing w:after="0" w:line="240" w:lineRule="auto"/>
              <w:jc w:val="center"/>
              <w:rPr>
                <w:rFonts w:hint="eastAsia" w:ascii="仿宋" w:hAnsi="仿宋" w:eastAsia="仿宋" w:cs="仿宋"/>
                <w:b/>
                <w:bCs/>
                <w:kern w:val="2"/>
                <w:sz w:val="21"/>
                <w:szCs w:val="21"/>
                <w:lang w:eastAsia="zh-CN"/>
              </w:rPr>
            </w:pPr>
            <w:r>
              <w:rPr>
                <w:rFonts w:hint="eastAsia" w:ascii="仿宋" w:hAnsi="仿宋" w:eastAsia="仿宋" w:cs="仿宋"/>
                <w:b/>
                <w:bCs/>
                <w:kern w:val="2"/>
                <w:sz w:val="21"/>
                <w:szCs w:val="21"/>
                <w:lang w:eastAsia="zh-CN"/>
              </w:rPr>
              <w:t>碳捕集（CCUS）</w:t>
            </w:r>
          </w:p>
        </w:tc>
        <w:tc>
          <w:tcPr>
            <w:tcW w:w="1590" w:type="dxa"/>
            <w:tcMar>
              <w:top w:w="160" w:type="dxa"/>
              <w:left w:w="160" w:type="dxa"/>
              <w:bottom w:w="160" w:type="dxa"/>
              <w:right w:w="160" w:type="dxa"/>
            </w:tcMar>
            <w:vAlign w:val="center"/>
          </w:tcPr>
          <w:p w14:paraId="16BD0677">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kern w:val="2"/>
                <w:sz w:val="21"/>
                <w:szCs w:val="21"/>
                <w:lang w:eastAsia="zh-CN"/>
              </w:rPr>
              <w:t>针对水泥煅烧、玻璃熔制过程难以避免的尾气排放，进行末端捕集并封存或资源化利用</w:t>
            </w:r>
          </w:p>
        </w:tc>
        <w:tc>
          <w:tcPr>
            <w:tcW w:w="3149" w:type="dxa"/>
            <w:tcMar>
              <w:top w:w="160" w:type="dxa"/>
              <w:left w:w="160" w:type="dxa"/>
              <w:bottom w:w="160" w:type="dxa"/>
              <w:right w:w="160" w:type="dxa"/>
            </w:tcMar>
            <w:vAlign w:val="center"/>
          </w:tcPr>
          <w:p w14:paraId="6CADB91A">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b/>
                <w:bCs/>
                <w:kern w:val="2"/>
                <w:sz w:val="21"/>
                <w:szCs w:val="21"/>
                <w:lang w:eastAsia="zh-CN"/>
              </w:rPr>
              <w:t>全氧燃烧耦合捕集技术</w:t>
            </w:r>
            <w:r>
              <w:rPr>
                <w:rFonts w:hint="eastAsia" w:ascii="仿宋" w:hAnsi="仿宋" w:eastAsia="仿宋" w:cs="仿宋"/>
                <w:kern w:val="2"/>
                <w:sz w:val="21"/>
                <w:szCs w:val="21"/>
                <w:lang w:eastAsia="zh-CN"/>
              </w:rPr>
              <w:t>：全氧燃烧耦合低能耗碳捕集技术；</w:t>
            </w:r>
          </w:p>
          <w:p w14:paraId="5FA30B49">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b/>
                <w:bCs/>
                <w:kern w:val="2"/>
                <w:sz w:val="21"/>
                <w:szCs w:val="21"/>
                <w:lang w:eastAsia="zh-CN"/>
              </w:rPr>
              <w:t>窑炉烟气碳捕集技术</w:t>
            </w:r>
            <w:r>
              <w:rPr>
                <w:rFonts w:hint="eastAsia" w:ascii="仿宋" w:hAnsi="仿宋" w:eastAsia="仿宋" w:cs="仿宋"/>
                <w:kern w:val="2"/>
                <w:sz w:val="21"/>
                <w:szCs w:val="21"/>
                <w:lang w:eastAsia="zh-CN"/>
              </w:rPr>
              <w:t>：水泥窑炉烟气捕集二氧化碳（CO₂）技术。</w:t>
            </w:r>
          </w:p>
        </w:tc>
        <w:tc>
          <w:tcPr>
            <w:tcW w:w="2536" w:type="dxa"/>
            <w:tcMar>
              <w:top w:w="160" w:type="dxa"/>
              <w:left w:w="160" w:type="dxa"/>
              <w:bottom w:w="160" w:type="dxa"/>
              <w:right w:w="160" w:type="dxa"/>
            </w:tcMar>
            <w:vAlign w:val="center"/>
          </w:tcPr>
          <w:p w14:paraId="0CF4DEA4">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kern w:val="2"/>
                <w:sz w:val="21"/>
                <w:szCs w:val="21"/>
                <w:lang w:eastAsia="zh-CN"/>
              </w:rPr>
              <w:t>现状：国内头部企业（如海螺、中国建材）已开展示范应用；</w:t>
            </w:r>
          </w:p>
          <w:p w14:paraId="290DFB5E">
            <w:pPr>
              <w:widowControl w:val="0"/>
              <w:spacing w:after="0" w:line="240" w:lineRule="auto"/>
              <w:jc w:val="center"/>
              <w:rPr>
                <w:rFonts w:hint="eastAsia" w:ascii="仿宋" w:hAnsi="仿宋" w:eastAsia="仿宋" w:cs="仿宋"/>
                <w:kern w:val="2"/>
                <w:sz w:val="21"/>
                <w:szCs w:val="21"/>
                <w:lang w:eastAsia="zh-CN"/>
              </w:rPr>
            </w:pPr>
            <w:r>
              <w:rPr>
                <w:rFonts w:hint="eastAsia" w:ascii="仿宋" w:hAnsi="仿宋" w:eastAsia="仿宋" w:cs="仿宋"/>
                <w:kern w:val="2"/>
                <w:sz w:val="21"/>
                <w:szCs w:val="21"/>
                <w:lang w:eastAsia="zh-CN"/>
              </w:rPr>
              <w:t>挑战：受限于成本高昂（运营成本约两倍）、行业集中度不高。</w:t>
            </w:r>
          </w:p>
        </w:tc>
      </w:tr>
    </w:tbl>
    <w:p w14:paraId="185B63DD">
      <w:pPr>
        <w:pStyle w:val="10"/>
        <w:rPr>
          <w:rFonts w:hint="eastAsia"/>
        </w:rPr>
      </w:pPr>
    </w:p>
    <w:p w14:paraId="07161813">
      <w:pPr>
        <w:pStyle w:val="12"/>
        <w:rPr>
          <w:rFonts w:hint="eastAsia" w:eastAsia="黑体"/>
          <w:lang w:val="en-US" w:eastAsia="zh-CN"/>
        </w:rPr>
      </w:pPr>
      <w:r>
        <w:rPr>
          <w:rFonts w:hint="eastAsia"/>
        </w:rPr>
        <w:t xml:space="preserve">4.3.1 </w:t>
      </w:r>
      <w:r>
        <w:rPr>
          <w:rFonts w:hint="eastAsia"/>
          <w:lang w:val="en-US" w:eastAsia="zh-CN"/>
        </w:rPr>
        <w:t>能效提升</w:t>
      </w:r>
    </w:p>
    <w:p w14:paraId="25F17497">
      <w:pPr>
        <w:pStyle w:val="11"/>
      </w:pPr>
      <w:r>
        <w:rPr>
          <w:rFonts w:hint="eastAsia"/>
        </w:rPr>
        <w:t>水泥行业</w:t>
      </w:r>
      <w:r>
        <w:rPr>
          <w:rFonts w:hint="eastAsia"/>
          <w:lang w:val="en-US" w:eastAsia="zh-CN"/>
        </w:rPr>
        <w:t>能效提升</w:t>
      </w:r>
      <w:r>
        <w:rPr>
          <w:rFonts w:hint="eastAsia"/>
        </w:rPr>
        <w:t>主要是指通过优化控制、提高产量、降低单耗等措施降低熟料生产过程各环节的煤耗，提高化石能源利用效率。对于水泥企业而言，开展节能降碳工作是现阶段最经济、最有效的手段。目前行业内已经有较为成熟、系统的节能提效解决方案，主要聚焦粉磨和煅烧环节能效提升以及系统智能化技术的应用。在粉磨环节，典型的节能技术有水泥立磨终粉磨技术、辊压机生料终粉磨技术、中置辊破技术、辊压机生料终粉磨技术等；煅烧环节典型的节能技术主要有分级燃烧低阻预热器系统、高性能隔热保温材料技术、新型熟料冷却技术、富氧燃烧技术等（落基山研究所和中国水泥协会，2022；中国建筑材料联合会，2022）。近年来，部分国内水泥企业通过应用上述先进技术，配合过剩产能加速出清，实现了水泥单位能耗水平的持续下降。近年内工业能效“领跑者”入围企业名单中，水泥企业占比均超过其它重点用能行业。总体而言，我国水泥行业的能效水平已处于国际领先地位，提高能源效率对行业减排的整体贡献较为有限，据估算，水泥行业通过能效提升技术可降低3%</w:t>
      </w:r>
      <w:r>
        <w:t>CO2</w:t>
      </w:r>
      <w:r>
        <w:rPr>
          <w:rFonts w:hint="eastAsia"/>
        </w:rPr>
        <w:t>累积排放量（武庆涛等.，2023），改造的重点集中在能效水平低于行业基准值的产能。</w:t>
      </w:r>
    </w:p>
    <w:p w14:paraId="19DE519A">
      <w:pPr>
        <w:pStyle w:val="13"/>
      </w:pPr>
      <w:r>
        <w:rPr>
          <w:rFonts w:hint="eastAsia"/>
        </w:rPr>
        <w:t>表4-1 典型节能降耗技术（中国建筑材料联合会，2022）</w:t>
      </w:r>
    </w:p>
    <w:tbl>
      <w:tblPr>
        <w:tblStyle w:val="6"/>
        <w:tblW w:w="98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818"/>
        <w:gridCol w:w="5270"/>
        <w:gridCol w:w="1559"/>
      </w:tblGrid>
      <w:tr w14:paraId="23ECC39F">
        <w:trPr>
          <w:jc w:val="center"/>
        </w:trPr>
        <w:tc>
          <w:tcPr>
            <w:tcW w:w="1242" w:type="dxa"/>
            <w:shd w:val="clear" w:color="auto" w:fill="E7E6E6" w:themeFill="background2"/>
            <w:vAlign w:val="center"/>
          </w:tcPr>
          <w:p w14:paraId="52747BDC">
            <w:pPr>
              <w:spacing w:after="0" w:line="240" w:lineRule="auto"/>
              <w:jc w:val="center"/>
              <w:rPr>
                <w:rFonts w:ascii="宋体" w:hAnsi="宋体" w:eastAsia="宋体"/>
                <w:b/>
                <w:bCs/>
                <w:kern w:val="0"/>
                <w:sz w:val="24"/>
                <w14:ligatures w14:val="none"/>
              </w:rPr>
            </w:pPr>
            <w:r>
              <w:rPr>
                <w:rFonts w:hint="eastAsia" w:ascii="宋体" w:hAnsi="宋体" w:eastAsia="宋体"/>
                <w:b/>
                <w:bCs/>
                <w:kern w:val="0"/>
                <w:sz w:val="24"/>
                <w14:ligatures w14:val="none"/>
              </w:rPr>
              <w:t>技术类型</w:t>
            </w:r>
          </w:p>
        </w:tc>
        <w:tc>
          <w:tcPr>
            <w:tcW w:w="1818" w:type="dxa"/>
            <w:shd w:val="clear" w:color="auto" w:fill="E7E6E6" w:themeFill="background2"/>
            <w:vAlign w:val="center"/>
          </w:tcPr>
          <w:p w14:paraId="15BC7A2A">
            <w:pPr>
              <w:spacing w:after="0" w:line="240" w:lineRule="auto"/>
              <w:jc w:val="center"/>
              <w:rPr>
                <w:rFonts w:ascii="宋体" w:hAnsi="宋体" w:eastAsia="宋体"/>
                <w:b/>
                <w:bCs/>
                <w:kern w:val="0"/>
                <w:sz w:val="24"/>
                <w14:ligatures w14:val="none"/>
              </w:rPr>
            </w:pPr>
            <w:r>
              <w:rPr>
                <w:rFonts w:hint="eastAsia" w:ascii="宋体" w:hAnsi="宋体" w:eastAsia="宋体"/>
                <w:b/>
                <w:bCs/>
                <w:kern w:val="0"/>
                <w:sz w:val="24"/>
                <w14:ligatures w14:val="none"/>
              </w:rPr>
              <w:t>技术名称</w:t>
            </w:r>
          </w:p>
        </w:tc>
        <w:tc>
          <w:tcPr>
            <w:tcW w:w="5270" w:type="dxa"/>
            <w:shd w:val="clear" w:color="auto" w:fill="E7E6E6" w:themeFill="background2"/>
            <w:vAlign w:val="center"/>
          </w:tcPr>
          <w:p w14:paraId="4EE06DE5">
            <w:pPr>
              <w:spacing w:after="0" w:line="240" w:lineRule="auto"/>
              <w:jc w:val="center"/>
              <w:rPr>
                <w:rFonts w:ascii="宋体" w:hAnsi="宋体" w:eastAsia="宋体"/>
                <w:b/>
                <w:bCs/>
                <w:kern w:val="0"/>
                <w:sz w:val="24"/>
                <w14:ligatures w14:val="none"/>
              </w:rPr>
            </w:pPr>
            <w:r>
              <w:rPr>
                <w:rFonts w:hint="eastAsia" w:ascii="宋体" w:hAnsi="宋体" w:eastAsia="宋体"/>
                <w:b/>
                <w:bCs/>
                <w:kern w:val="0"/>
                <w:sz w:val="24"/>
                <w14:ligatures w14:val="none"/>
              </w:rPr>
              <w:t>技术原理</w:t>
            </w:r>
          </w:p>
        </w:tc>
        <w:tc>
          <w:tcPr>
            <w:tcW w:w="1559" w:type="dxa"/>
            <w:shd w:val="clear" w:color="auto" w:fill="E7E6E6" w:themeFill="background2"/>
            <w:vAlign w:val="center"/>
          </w:tcPr>
          <w:p w14:paraId="0EAB361B">
            <w:pPr>
              <w:spacing w:after="0" w:line="240" w:lineRule="auto"/>
              <w:jc w:val="center"/>
              <w:rPr>
                <w:rFonts w:ascii="宋体" w:hAnsi="宋体" w:eastAsia="宋体"/>
                <w:b/>
                <w:bCs/>
                <w:kern w:val="0"/>
                <w:sz w:val="24"/>
                <w14:ligatures w14:val="none"/>
              </w:rPr>
            </w:pPr>
            <w:r>
              <w:rPr>
                <w:rFonts w:hint="eastAsia" w:ascii="宋体" w:hAnsi="宋体" w:eastAsia="宋体"/>
                <w:b/>
                <w:bCs/>
                <w:kern w:val="0"/>
                <w:sz w:val="24"/>
                <w14:ligatures w14:val="none"/>
              </w:rPr>
              <w:t>减排潜力</w:t>
            </w:r>
          </w:p>
        </w:tc>
      </w:tr>
      <w:tr w14:paraId="648DAC6B">
        <w:trPr>
          <w:jc w:val="center"/>
        </w:trPr>
        <w:tc>
          <w:tcPr>
            <w:tcW w:w="1242" w:type="dxa"/>
            <w:vMerge w:val="restart"/>
            <w:vAlign w:val="center"/>
          </w:tcPr>
          <w:p w14:paraId="7766A1CB">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粉磨环节</w:t>
            </w:r>
          </w:p>
        </w:tc>
        <w:tc>
          <w:tcPr>
            <w:tcW w:w="1818" w:type="dxa"/>
            <w:vAlign w:val="center"/>
          </w:tcPr>
          <w:p w14:paraId="4CC69041">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立式辊磨生料外循环技术</w:t>
            </w:r>
          </w:p>
        </w:tc>
        <w:tc>
          <w:tcPr>
            <w:tcW w:w="5270" w:type="dxa"/>
            <w:vAlign w:val="center"/>
          </w:tcPr>
          <w:p w14:paraId="69ACB447">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物料在外循环立式辊磨中经过研磨后全部排到磨机外进行分选，分选后粗颗粒物料回到立式辊磨进行再次研磨，降低了</w:t>
            </w:r>
            <w:r>
              <w:rPr>
                <w:rFonts w:ascii="宋体" w:hAnsi="宋体" w:eastAsia="宋体"/>
                <w:kern w:val="0"/>
                <w:sz w:val="24"/>
                <w14:ligatures w14:val="none"/>
              </w:rPr>
              <w:t>通风</w:t>
            </w:r>
            <w:r>
              <w:rPr>
                <w:rFonts w:hint="eastAsia" w:ascii="宋体" w:hAnsi="宋体" w:eastAsia="宋体"/>
                <w:kern w:val="0"/>
                <w:sz w:val="24"/>
                <w14:ligatures w14:val="none"/>
              </w:rPr>
              <w:t>阻力</w:t>
            </w:r>
            <w:r>
              <w:rPr>
                <w:rFonts w:ascii="宋体" w:hAnsi="宋体" w:eastAsia="宋体"/>
                <w:kern w:val="0"/>
                <w:sz w:val="24"/>
                <w14:ligatures w14:val="none"/>
              </w:rPr>
              <w:t>和电耗。</w:t>
            </w:r>
          </w:p>
        </w:tc>
        <w:tc>
          <w:tcPr>
            <w:tcW w:w="1559" w:type="dxa"/>
            <w:vAlign w:val="center"/>
          </w:tcPr>
          <w:p w14:paraId="6D1DEDB4">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1</w:t>
            </w:r>
            <w:r>
              <w:rPr>
                <w:rFonts w:ascii="宋体" w:hAnsi="宋体" w:eastAsia="宋体"/>
                <w:kern w:val="0"/>
                <w:sz w:val="24"/>
                <w14:ligatures w14:val="none"/>
              </w:rPr>
              <w:t>1</w:t>
            </w:r>
            <w:r>
              <w:rPr>
                <w:rFonts w:hint="eastAsia" w:ascii="宋体" w:hAnsi="宋体" w:eastAsia="宋体"/>
                <w:kern w:val="0"/>
                <w:sz w:val="24"/>
                <w14:ligatures w14:val="none"/>
              </w:rPr>
              <w:t>-</w:t>
            </w:r>
            <w:r>
              <w:rPr>
                <w:rFonts w:ascii="宋体" w:hAnsi="宋体" w:eastAsia="宋体"/>
                <w:kern w:val="0"/>
                <w:sz w:val="24"/>
                <w14:ligatures w14:val="none"/>
              </w:rPr>
              <w:t>13kWh/t</w:t>
            </w:r>
          </w:p>
        </w:tc>
      </w:tr>
      <w:tr w14:paraId="0B24A63B">
        <w:trPr>
          <w:jc w:val="center"/>
        </w:trPr>
        <w:tc>
          <w:tcPr>
            <w:tcW w:w="1242" w:type="dxa"/>
            <w:vMerge w:val="continue"/>
            <w:vAlign w:val="center"/>
          </w:tcPr>
          <w:p w14:paraId="649BDA44">
            <w:pPr>
              <w:spacing w:after="0" w:line="240" w:lineRule="auto"/>
              <w:jc w:val="both"/>
              <w:rPr>
                <w:rFonts w:ascii="宋体" w:hAnsi="宋体" w:eastAsia="宋体"/>
                <w:kern w:val="0"/>
                <w:sz w:val="24"/>
                <w14:ligatures w14:val="none"/>
              </w:rPr>
            </w:pPr>
          </w:p>
        </w:tc>
        <w:tc>
          <w:tcPr>
            <w:tcW w:w="1818" w:type="dxa"/>
            <w:vAlign w:val="center"/>
          </w:tcPr>
          <w:p w14:paraId="46CFA805">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辊压机生料终粉磨技术</w:t>
            </w:r>
          </w:p>
        </w:tc>
        <w:tc>
          <w:tcPr>
            <w:tcW w:w="5270" w:type="dxa"/>
            <w:vAlign w:val="center"/>
          </w:tcPr>
          <w:p w14:paraId="14443002">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采用料床粉磨原理，比球磨机生料粉磨系统和立磨生料粉磨系统更节电。</w:t>
            </w:r>
          </w:p>
        </w:tc>
        <w:tc>
          <w:tcPr>
            <w:tcW w:w="1559" w:type="dxa"/>
            <w:vAlign w:val="center"/>
          </w:tcPr>
          <w:p w14:paraId="0995BD75">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1</w:t>
            </w:r>
            <w:r>
              <w:rPr>
                <w:rFonts w:ascii="宋体" w:hAnsi="宋体" w:eastAsia="宋体"/>
                <w:kern w:val="0"/>
                <w:sz w:val="24"/>
                <w14:ligatures w14:val="none"/>
              </w:rPr>
              <w:t>0-13 kWh/t</w:t>
            </w:r>
          </w:p>
        </w:tc>
      </w:tr>
      <w:tr w14:paraId="65D6E732">
        <w:trPr>
          <w:jc w:val="center"/>
        </w:trPr>
        <w:tc>
          <w:tcPr>
            <w:tcW w:w="1242" w:type="dxa"/>
            <w:vMerge w:val="continue"/>
            <w:vAlign w:val="center"/>
          </w:tcPr>
          <w:p w14:paraId="10E7D724">
            <w:pPr>
              <w:spacing w:after="0" w:line="240" w:lineRule="auto"/>
              <w:jc w:val="both"/>
              <w:rPr>
                <w:rFonts w:ascii="宋体" w:hAnsi="宋体" w:eastAsia="宋体"/>
                <w:kern w:val="0"/>
                <w:sz w:val="24"/>
                <w14:ligatures w14:val="none"/>
              </w:rPr>
            </w:pPr>
          </w:p>
        </w:tc>
        <w:tc>
          <w:tcPr>
            <w:tcW w:w="1818" w:type="dxa"/>
            <w:vAlign w:val="center"/>
          </w:tcPr>
          <w:p w14:paraId="3BBFD6C0">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钢渣</w:t>
            </w:r>
            <w:r>
              <w:rPr>
                <w:rFonts w:ascii="宋体" w:hAnsi="宋体" w:eastAsia="宋体"/>
                <w:kern w:val="0"/>
                <w:sz w:val="24"/>
                <w14:ligatures w14:val="none"/>
              </w:rPr>
              <w:t>/矿渣辊压机终粉磨技术</w:t>
            </w:r>
          </w:p>
        </w:tc>
        <w:tc>
          <w:tcPr>
            <w:tcW w:w="5270" w:type="dxa"/>
            <w:vAlign w:val="center"/>
          </w:tcPr>
          <w:p w14:paraId="157B9632">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以辊压机和动静组合式选粉机为核心设备，全部物料为外循环，避免块状金属富集，</w:t>
            </w:r>
            <w:r>
              <w:rPr>
                <w:rFonts w:ascii="宋体" w:hAnsi="宋体" w:eastAsia="宋体"/>
                <w:kern w:val="0"/>
                <w:sz w:val="24"/>
                <w14:ligatures w14:val="none"/>
              </w:rPr>
              <w:t>系统阻力低，节电效果明显。</w:t>
            </w:r>
          </w:p>
        </w:tc>
        <w:tc>
          <w:tcPr>
            <w:tcW w:w="1559" w:type="dxa"/>
            <w:vAlign w:val="center"/>
          </w:tcPr>
          <w:p w14:paraId="0D5499C8">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&lt;</w:t>
            </w:r>
            <w:r>
              <w:rPr>
                <w:rFonts w:ascii="宋体" w:hAnsi="宋体" w:eastAsia="宋体"/>
                <w:kern w:val="0"/>
                <w:sz w:val="24"/>
                <w14:ligatures w14:val="none"/>
              </w:rPr>
              <w:t>33 kWh/t</w:t>
            </w:r>
          </w:p>
        </w:tc>
      </w:tr>
      <w:tr w14:paraId="5A60CC58">
        <w:trPr>
          <w:jc w:val="center"/>
        </w:trPr>
        <w:tc>
          <w:tcPr>
            <w:tcW w:w="1242" w:type="dxa"/>
            <w:vMerge w:val="continue"/>
            <w:vAlign w:val="center"/>
          </w:tcPr>
          <w:p w14:paraId="0426CBBF">
            <w:pPr>
              <w:spacing w:after="0" w:line="240" w:lineRule="auto"/>
              <w:jc w:val="both"/>
              <w:rPr>
                <w:rFonts w:ascii="宋体" w:hAnsi="宋体" w:eastAsia="宋体"/>
                <w:kern w:val="0"/>
                <w:sz w:val="24"/>
                <w14:ligatures w14:val="none"/>
              </w:rPr>
            </w:pPr>
          </w:p>
        </w:tc>
        <w:tc>
          <w:tcPr>
            <w:tcW w:w="1818" w:type="dxa"/>
            <w:vAlign w:val="center"/>
          </w:tcPr>
          <w:p w14:paraId="37840322">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钢渣立式辊磨终粉磨技术</w:t>
            </w:r>
          </w:p>
        </w:tc>
        <w:tc>
          <w:tcPr>
            <w:tcW w:w="5270" w:type="dxa"/>
            <w:vAlign w:val="center"/>
          </w:tcPr>
          <w:p w14:paraId="292C6F47">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通过磨内除铁排铁、外循环除铁、高压力少磨辊研磨等技术，使得钢渣中的金属铁有效去除。</w:t>
            </w:r>
          </w:p>
        </w:tc>
        <w:tc>
          <w:tcPr>
            <w:tcW w:w="1559" w:type="dxa"/>
            <w:vAlign w:val="center"/>
          </w:tcPr>
          <w:p w14:paraId="0EC76BDE">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&lt;</w:t>
            </w:r>
            <w:r>
              <w:rPr>
                <w:rFonts w:ascii="宋体" w:hAnsi="宋体" w:eastAsia="宋体"/>
                <w:kern w:val="0"/>
                <w:sz w:val="24"/>
                <w14:ligatures w14:val="none"/>
              </w:rPr>
              <w:t>=40 kWh/t</w:t>
            </w:r>
          </w:p>
        </w:tc>
      </w:tr>
      <w:tr w14:paraId="4A436F95">
        <w:trPr>
          <w:jc w:val="center"/>
        </w:trPr>
        <w:tc>
          <w:tcPr>
            <w:tcW w:w="1242" w:type="dxa"/>
            <w:vMerge w:val="restart"/>
            <w:vAlign w:val="center"/>
          </w:tcPr>
          <w:p w14:paraId="65D9554B">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熟料环节</w:t>
            </w:r>
          </w:p>
        </w:tc>
        <w:tc>
          <w:tcPr>
            <w:tcW w:w="1818" w:type="dxa"/>
            <w:vAlign w:val="center"/>
          </w:tcPr>
          <w:p w14:paraId="384284D4">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水泥窑炉用耐火材料整体提升技术</w:t>
            </w:r>
          </w:p>
        </w:tc>
        <w:tc>
          <w:tcPr>
            <w:tcW w:w="5270" w:type="dxa"/>
            <w:vAlign w:val="center"/>
          </w:tcPr>
          <w:p w14:paraId="017588EE">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采用纳米隔热板、复合砖以及气凝胶隔热材料等新型高效隔热材料，降低烧成系统热耗。</w:t>
            </w:r>
          </w:p>
        </w:tc>
        <w:tc>
          <w:tcPr>
            <w:tcW w:w="1559" w:type="dxa"/>
            <w:vAlign w:val="center"/>
          </w:tcPr>
          <w:p w14:paraId="5B08B466">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1-</w:t>
            </w:r>
            <w:r>
              <w:rPr>
                <w:rFonts w:ascii="宋体" w:hAnsi="宋体" w:eastAsia="宋体"/>
                <w:kern w:val="0"/>
                <w:sz w:val="24"/>
                <w14:ligatures w14:val="none"/>
              </w:rPr>
              <w:t>3 kgce/t</w:t>
            </w:r>
          </w:p>
        </w:tc>
      </w:tr>
      <w:tr w14:paraId="2BEB177C">
        <w:trPr>
          <w:jc w:val="center"/>
        </w:trPr>
        <w:tc>
          <w:tcPr>
            <w:tcW w:w="1242" w:type="dxa"/>
            <w:vMerge w:val="continue"/>
            <w:vAlign w:val="center"/>
          </w:tcPr>
          <w:p w14:paraId="3DAA3B9C">
            <w:pPr>
              <w:spacing w:after="0" w:line="240" w:lineRule="auto"/>
              <w:jc w:val="both"/>
              <w:rPr>
                <w:rFonts w:ascii="宋体" w:hAnsi="宋体" w:eastAsia="宋体"/>
                <w:kern w:val="0"/>
                <w:sz w:val="24"/>
                <w14:ligatures w14:val="none"/>
              </w:rPr>
            </w:pPr>
          </w:p>
        </w:tc>
        <w:tc>
          <w:tcPr>
            <w:tcW w:w="1818" w:type="dxa"/>
            <w:vAlign w:val="center"/>
          </w:tcPr>
          <w:p w14:paraId="6FEB4DA7">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预热器分离效率提升及降阻优化技术</w:t>
            </w:r>
          </w:p>
        </w:tc>
        <w:tc>
          <w:tcPr>
            <w:tcW w:w="5270" w:type="dxa"/>
            <w:vAlign w:val="center"/>
          </w:tcPr>
          <w:p w14:paraId="5F7D93F8">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增大旋风筒进口面积，合理设计蜗壳结构形式，实现降低系统阻力、增强热量交换效率，最终减少能耗的目的。</w:t>
            </w:r>
          </w:p>
        </w:tc>
        <w:tc>
          <w:tcPr>
            <w:tcW w:w="1559" w:type="dxa"/>
            <w:vAlign w:val="center"/>
          </w:tcPr>
          <w:p w14:paraId="51037BD2">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1</w:t>
            </w:r>
            <w:r>
              <w:rPr>
                <w:rFonts w:ascii="宋体" w:hAnsi="宋体" w:eastAsia="宋体"/>
                <w:kern w:val="0"/>
                <w:sz w:val="24"/>
                <w14:ligatures w14:val="none"/>
              </w:rPr>
              <w:t>-2 kgce/t</w:t>
            </w:r>
          </w:p>
        </w:tc>
      </w:tr>
      <w:tr w14:paraId="40A668E8">
        <w:trPr>
          <w:jc w:val="center"/>
        </w:trPr>
        <w:tc>
          <w:tcPr>
            <w:tcW w:w="1242" w:type="dxa"/>
            <w:vMerge w:val="continue"/>
            <w:vAlign w:val="center"/>
          </w:tcPr>
          <w:p w14:paraId="06B83583">
            <w:pPr>
              <w:spacing w:after="0" w:line="240" w:lineRule="auto"/>
              <w:jc w:val="both"/>
              <w:rPr>
                <w:rFonts w:ascii="宋体" w:hAnsi="宋体" w:eastAsia="宋体"/>
                <w:kern w:val="0"/>
                <w:sz w:val="24"/>
                <w14:ligatures w14:val="none"/>
              </w:rPr>
            </w:pPr>
          </w:p>
        </w:tc>
        <w:tc>
          <w:tcPr>
            <w:tcW w:w="1818" w:type="dxa"/>
            <w:vAlign w:val="center"/>
          </w:tcPr>
          <w:p w14:paraId="00562955">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六级预热器技术</w:t>
            </w:r>
          </w:p>
        </w:tc>
        <w:tc>
          <w:tcPr>
            <w:tcW w:w="5270" w:type="dxa"/>
            <w:vAlign w:val="center"/>
          </w:tcPr>
          <w:p w14:paraId="1DEF5664">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通过增加一级旋风筒提高预热器换热效率、分离效率，降低废气排放热量损失</w:t>
            </w:r>
          </w:p>
        </w:tc>
        <w:tc>
          <w:tcPr>
            <w:tcW w:w="1559" w:type="dxa"/>
            <w:vAlign w:val="center"/>
          </w:tcPr>
          <w:p w14:paraId="33F611F0">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4</w:t>
            </w:r>
            <w:r>
              <w:rPr>
                <w:rFonts w:ascii="宋体" w:hAnsi="宋体" w:eastAsia="宋体"/>
                <w:kern w:val="0"/>
                <w:sz w:val="24"/>
                <w14:ligatures w14:val="none"/>
              </w:rPr>
              <w:t>-5 kgce/t</w:t>
            </w:r>
          </w:p>
        </w:tc>
      </w:tr>
      <w:tr w14:paraId="6CC6B8A2">
        <w:trPr>
          <w:jc w:val="center"/>
        </w:trPr>
        <w:tc>
          <w:tcPr>
            <w:tcW w:w="1242" w:type="dxa"/>
            <w:vMerge w:val="continue"/>
            <w:vAlign w:val="center"/>
          </w:tcPr>
          <w:p w14:paraId="52AE3FB2">
            <w:pPr>
              <w:spacing w:after="0" w:line="240" w:lineRule="auto"/>
              <w:jc w:val="both"/>
              <w:rPr>
                <w:rFonts w:ascii="宋体" w:hAnsi="宋体" w:eastAsia="宋体"/>
                <w:kern w:val="0"/>
                <w:sz w:val="24"/>
                <w14:ligatures w14:val="none"/>
              </w:rPr>
            </w:pPr>
          </w:p>
        </w:tc>
        <w:tc>
          <w:tcPr>
            <w:tcW w:w="1818" w:type="dxa"/>
            <w:vAlign w:val="center"/>
          </w:tcPr>
          <w:p w14:paraId="206565BF">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四代步进式冷却机技术</w:t>
            </w:r>
          </w:p>
        </w:tc>
        <w:tc>
          <w:tcPr>
            <w:tcW w:w="5270" w:type="dxa"/>
            <w:vAlign w:val="center"/>
          </w:tcPr>
          <w:p w14:paraId="1A3D467D">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将原有三代篦式冷却机整体更换为第四代步进式冷却机，提高冷却机的热回收效率，降低熟料温度</w:t>
            </w:r>
          </w:p>
        </w:tc>
        <w:tc>
          <w:tcPr>
            <w:tcW w:w="1559" w:type="dxa"/>
            <w:vAlign w:val="center"/>
          </w:tcPr>
          <w:p w14:paraId="5C9C297B">
            <w:pPr>
              <w:spacing w:after="0" w:line="240" w:lineRule="auto"/>
              <w:jc w:val="both"/>
              <w:rPr>
                <w:rFonts w:ascii="宋体" w:hAnsi="宋体" w:eastAsia="宋体"/>
                <w:kern w:val="0"/>
                <w:sz w:val="24"/>
                <w14:ligatures w14:val="none"/>
              </w:rPr>
            </w:pPr>
            <w:r>
              <w:rPr>
                <w:rFonts w:ascii="宋体" w:hAnsi="宋体" w:eastAsia="宋体"/>
                <w:kern w:val="0"/>
                <w:sz w:val="24"/>
                <w14:ligatures w14:val="none"/>
              </w:rPr>
              <w:t>1</w:t>
            </w:r>
            <w:r>
              <w:rPr>
                <w:rFonts w:hint="eastAsia" w:ascii="宋体" w:hAnsi="宋体" w:eastAsia="宋体"/>
                <w:kern w:val="0"/>
                <w:sz w:val="24"/>
                <w14:ligatures w14:val="none"/>
              </w:rPr>
              <w:t>-</w:t>
            </w:r>
            <w:r>
              <w:rPr>
                <w:rFonts w:ascii="宋体" w:hAnsi="宋体" w:eastAsia="宋体"/>
                <w:kern w:val="0"/>
                <w:sz w:val="24"/>
                <w14:ligatures w14:val="none"/>
              </w:rPr>
              <w:t>3 kgce/t</w:t>
            </w:r>
          </w:p>
        </w:tc>
      </w:tr>
      <w:tr w14:paraId="4F66257C">
        <w:trPr>
          <w:jc w:val="center"/>
        </w:trPr>
        <w:tc>
          <w:tcPr>
            <w:tcW w:w="1242" w:type="dxa"/>
            <w:vMerge w:val="continue"/>
            <w:vAlign w:val="center"/>
          </w:tcPr>
          <w:p w14:paraId="55FCE5A3">
            <w:pPr>
              <w:spacing w:after="0" w:line="240" w:lineRule="auto"/>
              <w:jc w:val="both"/>
              <w:rPr>
                <w:rFonts w:ascii="宋体" w:hAnsi="宋体" w:eastAsia="宋体"/>
                <w:kern w:val="0"/>
                <w:sz w:val="24"/>
                <w14:ligatures w14:val="none"/>
              </w:rPr>
            </w:pPr>
          </w:p>
        </w:tc>
        <w:tc>
          <w:tcPr>
            <w:tcW w:w="1818" w:type="dxa"/>
            <w:vAlign w:val="center"/>
          </w:tcPr>
          <w:p w14:paraId="40202B8E">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中置辊破技术</w:t>
            </w:r>
          </w:p>
        </w:tc>
        <w:tc>
          <w:tcPr>
            <w:tcW w:w="5270" w:type="dxa"/>
            <w:vAlign w:val="center"/>
          </w:tcPr>
          <w:p w14:paraId="6C1F6808">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将原锤式破碎机改造为中置辊破形式，提高熟料冷却效果，增加余热发电能力</w:t>
            </w:r>
          </w:p>
        </w:tc>
        <w:tc>
          <w:tcPr>
            <w:tcW w:w="1559" w:type="dxa"/>
            <w:vAlign w:val="center"/>
          </w:tcPr>
          <w:p w14:paraId="2707636E">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0</w:t>
            </w:r>
            <w:r>
              <w:rPr>
                <w:rFonts w:ascii="宋体" w:hAnsi="宋体" w:eastAsia="宋体"/>
                <w:kern w:val="0"/>
                <w:sz w:val="24"/>
                <w14:ligatures w14:val="none"/>
              </w:rPr>
              <w:t>.2</w:t>
            </w:r>
            <w:r>
              <w:rPr>
                <w:rFonts w:hint="eastAsia" w:ascii="宋体" w:hAnsi="宋体" w:eastAsia="宋体"/>
                <w:kern w:val="0"/>
                <w:sz w:val="24"/>
                <w14:ligatures w14:val="none"/>
              </w:rPr>
              <w:t>-</w:t>
            </w:r>
            <w:r>
              <w:rPr>
                <w:rFonts w:ascii="宋体" w:hAnsi="宋体" w:eastAsia="宋体"/>
                <w:kern w:val="0"/>
                <w:sz w:val="24"/>
                <w14:ligatures w14:val="none"/>
              </w:rPr>
              <w:t>0.5 kgce/t</w:t>
            </w:r>
          </w:p>
        </w:tc>
      </w:tr>
      <w:tr w14:paraId="0C10C33C">
        <w:trPr>
          <w:jc w:val="center"/>
        </w:trPr>
        <w:tc>
          <w:tcPr>
            <w:tcW w:w="1242" w:type="dxa"/>
            <w:vMerge w:val="continue"/>
            <w:vAlign w:val="center"/>
          </w:tcPr>
          <w:p w14:paraId="742BEC69">
            <w:pPr>
              <w:spacing w:after="0" w:line="240" w:lineRule="auto"/>
              <w:jc w:val="both"/>
              <w:rPr>
                <w:rFonts w:ascii="宋体" w:hAnsi="宋体" w:eastAsia="宋体"/>
                <w:kern w:val="0"/>
                <w:sz w:val="24"/>
                <w14:ligatures w14:val="none"/>
              </w:rPr>
            </w:pPr>
          </w:p>
        </w:tc>
        <w:tc>
          <w:tcPr>
            <w:tcW w:w="1818" w:type="dxa"/>
            <w:vAlign w:val="center"/>
          </w:tcPr>
          <w:p w14:paraId="68D084F6">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富氧燃烧技术</w:t>
            </w:r>
          </w:p>
        </w:tc>
        <w:tc>
          <w:tcPr>
            <w:tcW w:w="5270" w:type="dxa"/>
            <w:vAlign w:val="center"/>
          </w:tcPr>
          <w:p w14:paraId="7EAFD4E8">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将高浓度央企通入燃烧器</w:t>
            </w:r>
            <w:r>
              <w:rPr>
                <w:rFonts w:ascii="宋体" w:hAnsi="宋体" w:eastAsia="宋体"/>
                <w:kern w:val="0"/>
                <w:sz w:val="24"/>
                <w14:ligatures w14:val="none"/>
              </w:rPr>
              <w:t>，以加强窑内煅烧温度，提高分解炉难燃燃料的燃尽率，降低系统综合能耗。</w:t>
            </w:r>
          </w:p>
        </w:tc>
        <w:tc>
          <w:tcPr>
            <w:tcW w:w="1559" w:type="dxa"/>
            <w:vAlign w:val="center"/>
          </w:tcPr>
          <w:p w14:paraId="7318726E">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2-</w:t>
            </w:r>
            <w:r>
              <w:rPr>
                <w:rFonts w:ascii="宋体" w:hAnsi="宋体" w:eastAsia="宋体"/>
                <w:kern w:val="0"/>
                <w:sz w:val="24"/>
                <w14:ligatures w14:val="none"/>
              </w:rPr>
              <w:t>4 kgce/t</w:t>
            </w:r>
          </w:p>
        </w:tc>
      </w:tr>
      <w:tr w14:paraId="2F1C11B5">
        <w:trPr>
          <w:jc w:val="center"/>
        </w:trPr>
        <w:tc>
          <w:tcPr>
            <w:tcW w:w="1242" w:type="dxa"/>
            <w:vMerge w:val="continue"/>
            <w:vAlign w:val="center"/>
          </w:tcPr>
          <w:p w14:paraId="4FD5D453">
            <w:pPr>
              <w:spacing w:after="0" w:line="240" w:lineRule="auto"/>
              <w:jc w:val="both"/>
              <w:rPr>
                <w:rFonts w:ascii="宋体" w:hAnsi="宋体" w:eastAsia="宋体"/>
                <w:kern w:val="0"/>
                <w:sz w:val="24"/>
                <w14:ligatures w14:val="none"/>
              </w:rPr>
            </w:pPr>
          </w:p>
        </w:tc>
        <w:tc>
          <w:tcPr>
            <w:tcW w:w="1818" w:type="dxa"/>
            <w:vAlign w:val="center"/>
          </w:tcPr>
          <w:p w14:paraId="472ACB73">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提高生料易烧性和操作管理提升技术</w:t>
            </w:r>
          </w:p>
        </w:tc>
        <w:tc>
          <w:tcPr>
            <w:tcW w:w="5270" w:type="dxa"/>
            <w:vAlign w:val="center"/>
          </w:tcPr>
          <w:p w14:paraId="5AE16B6B">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通过加入节煤剂、矿化剂等技术，改善燃料的燃烧特性或生料的易烧性，进而降低熟料烧成温度，减少燃料的使用量。</w:t>
            </w:r>
          </w:p>
        </w:tc>
        <w:tc>
          <w:tcPr>
            <w:tcW w:w="1559" w:type="dxa"/>
            <w:vAlign w:val="center"/>
          </w:tcPr>
          <w:p w14:paraId="13641FA4">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1-</w:t>
            </w:r>
            <w:r>
              <w:rPr>
                <w:rFonts w:ascii="宋体" w:hAnsi="宋体" w:eastAsia="宋体"/>
                <w:kern w:val="0"/>
                <w:sz w:val="24"/>
                <w14:ligatures w14:val="none"/>
              </w:rPr>
              <w:t>5 kgce/t</w:t>
            </w:r>
          </w:p>
        </w:tc>
      </w:tr>
      <w:tr w14:paraId="5FEF5C12">
        <w:trPr>
          <w:jc w:val="center"/>
        </w:trPr>
        <w:tc>
          <w:tcPr>
            <w:tcW w:w="1242" w:type="dxa"/>
            <w:vMerge w:val="restart"/>
            <w:vAlign w:val="center"/>
          </w:tcPr>
          <w:p w14:paraId="4C44D2DF">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系统能效提升</w:t>
            </w:r>
          </w:p>
        </w:tc>
        <w:tc>
          <w:tcPr>
            <w:tcW w:w="1818" w:type="dxa"/>
            <w:vAlign w:val="center"/>
          </w:tcPr>
          <w:p w14:paraId="1DA44720">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风机效率提升节能技术</w:t>
            </w:r>
          </w:p>
        </w:tc>
        <w:tc>
          <w:tcPr>
            <w:tcW w:w="5270" w:type="dxa"/>
            <w:vAlign w:val="center"/>
          </w:tcPr>
          <w:p w14:paraId="0DFB7B62">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使用高效风机、新型悬浮风机、永磁电机、高效联轴器等节能通用设备减少能耗。</w:t>
            </w:r>
          </w:p>
        </w:tc>
        <w:tc>
          <w:tcPr>
            <w:tcW w:w="1559" w:type="dxa"/>
            <w:vAlign w:val="center"/>
          </w:tcPr>
          <w:p w14:paraId="66528BD6">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3</w:t>
            </w:r>
            <w:r>
              <w:rPr>
                <w:rFonts w:ascii="宋体" w:hAnsi="宋体" w:eastAsia="宋体"/>
                <w:kern w:val="0"/>
                <w:sz w:val="24"/>
                <w14:ligatures w14:val="none"/>
              </w:rPr>
              <w:t>0</w:t>
            </w:r>
            <w:r>
              <w:rPr>
                <w:rFonts w:hint="eastAsia" w:ascii="宋体" w:hAnsi="宋体" w:eastAsia="宋体"/>
                <w:kern w:val="0"/>
                <w:sz w:val="24"/>
                <w14:ligatures w14:val="none"/>
              </w:rPr>
              <w:t>%-</w:t>
            </w:r>
            <w:r>
              <w:rPr>
                <w:rFonts w:ascii="宋体" w:hAnsi="宋体" w:eastAsia="宋体"/>
                <w:kern w:val="0"/>
                <w:sz w:val="24"/>
                <w14:ligatures w14:val="none"/>
              </w:rPr>
              <w:t>40</w:t>
            </w:r>
            <w:r>
              <w:rPr>
                <w:rFonts w:hint="eastAsia" w:ascii="宋体" w:hAnsi="宋体" w:eastAsia="宋体"/>
                <w:kern w:val="0"/>
                <w:sz w:val="24"/>
                <w14:ligatures w14:val="none"/>
              </w:rPr>
              <w:t>%</w:t>
            </w:r>
          </w:p>
        </w:tc>
      </w:tr>
      <w:tr w14:paraId="2F330EE9">
        <w:trPr>
          <w:jc w:val="center"/>
        </w:trPr>
        <w:tc>
          <w:tcPr>
            <w:tcW w:w="1242" w:type="dxa"/>
            <w:vMerge w:val="continue"/>
            <w:vAlign w:val="center"/>
          </w:tcPr>
          <w:p w14:paraId="438348CB">
            <w:pPr>
              <w:spacing w:after="0" w:line="240" w:lineRule="auto"/>
              <w:jc w:val="both"/>
              <w:rPr>
                <w:rFonts w:ascii="宋体" w:hAnsi="宋体" w:eastAsia="宋体"/>
                <w:kern w:val="0"/>
                <w:sz w:val="24"/>
                <w14:ligatures w14:val="none"/>
              </w:rPr>
            </w:pPr>
          </w:p>
        </w:tc>
        <w:tc>
          <w:tcPr>
            <w:tcW w:w="1818" w:type="dxa"/>
            <w:vAlign w:val="center"/>
          </w:tcPr>
          <w:p w14:paraId="77FD0925">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数字化、智能化技术</w:t>
            </w:r>
          </w:p>
        </w:tc>
        <w:tc>
          <w:tcPr>
            <w:tcW w:w="5270" w:type="dxa"/>
            <w:vAlign w:val="center"/>
          </w:tcPr>
          <w:p w14:paraId="7098A1E4">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使用智能装备、智能算法、自动控制系统、在线监测系统等实现水泥生产线层级的生产管控智能决策、智能优化控制及自主寻优。</w:t>
            </w:r>
          </w:p>
        </w:tc>
        <w:tc>
          <w:tcPr>
            <w:tcW w:w="1559" w:type="dxa"/>
            <w:vAlign w:val="center"/>
          </w:tcPr>
          <w:p w14:paraId="0305ADA6">
            <w:pPr>
              <w:spacing w:after="0" w:line="240" w:lineRule="auto"/>
              <w:jc w:val="both"/>
              <w:rPr>
                <w:rFonts w:ascii="宋体" w:hAnsi="宋体" w:eastAsia="宋体"/>
                <w:kern w:val="0"/>
                <w:sz w:val="24"/>
                <w14:ligatures w14:val="none"/>
              </w:rPr>
            </w:pPr>
            <w:r>
              <w:rPr>
                <w:rFonts w:hint="eastAsia" w:ascii="宋体" w:hAnsi="宋体" w:eastAsia="宋体"/>
                <w:kern w:val="0"/>
                <w:sz w:val="24"/>
                <w14:ligatures w14:val="none"/>
              </w:rPr>
              <w:t>-</w:t>
            </w:r>
          </w:p>
        </w:tc>
      </w:tr>
    </w:tbl>
    <w:p w14:paraId="68AA640A">
      <w:pPr>
        <w:pStyle w:val="12"/>
      </w:pPr>
      <w:r>
        <w:rPr>
          <w:rFonts w:hint="eastAsia"/>
        </w:rPr>
        <w:t xml:space="preserve">4.3.2 </w:t>
      </w:r>
      <w:r>
        <w:rPr>
          <w:rFonts w:hint="eastAsia"/>
          <w:lang w:val="en-US" w:eastAsia="zh-CN"/>
        </w:rPr>
        <w:t>绿色能源及</w:t>
      </w:r>
      <w:r>
        <w:rPr>
          <w:rFonts w:hint="eastAsia"/>
        </w:rPr>
        <w:t>开发替代燃料</w:t>
      </w:r>
    </w:p>
    <w:p w14:paraId="3BD2A64F">
      <w:pPr>
        <w:pStyle w:val="11"/>
      </w:pPr>
      <w:r>
        <w:rPr>
          <w:rFonts w:hint="eastAsia"/>
        </w:rPr>
        <w:t>水泥企业主要用煤、石油和天然气等化石燃料实现水泥熟料煅烧过程的高温条件，产生的碳排放约占水泥生产过程中总排放量的</w:t>
      </w:r>
      <w:r>
        <w:t>30%</w:t>
      </w:r>
      <w:r>
        <w:rPr>
          <w:rFonts w:hint="eastAsia"/>
        </w:rPr>
        <w:t>。开发替代燃料即利用固体废弃物、生物质或清洁能源代替化石能源为煅烧环节供能。据估算，通过燃料替代技术可降低水泥行业1</w:t>
      </w:r>
      <w:r>
        <w:t>2</w:t>
      </w:r>
      <w:r>
        <w:rPr>
          <w:rFonts w:hint="eastAsia"/>
        </w:rPr>
        <w:t>%的C</w:t>
      </w:r>
      <w:r>
        <w:t>O2</w:t>
      </w:r>
      <w:r>
        <w:rPr>
          <w:rFonts w:hint="eastAsia"/>
        </w:rPr>
        <w:t>排放量。</w:t>
      </w:r>
    </w:p>
    <w:p w14:paraId="6D3D16DE">
      <w:pPr>
        <w:pStyle w:val="11"/>
      </w:pPr>
      <w:r>
        <w:rPr>
          <w:rFonts w:hint="eastAsia"/>
        </w:rPr>
        <w:t>利用固体废弃物和生物质作为替代燃料的技术现已相当成熟，由于水泥回转内的气体温度可达2</w:t>
      </w:r>
      <w:r>
        <w:t>000</w:t>
      </w:r>
      <w:r>
        <w:rPr>
          <w:rFonts w:hint="eastAsia"/>
        </w:rPr>
        <w:t>℃以上，物料停留时间长，且回转内为氧化气氛，一些燃点较高的固体废弃物同样可以利用作为燃料（住房和城乡建设部科技与产业化发展中心等.，2022）。在国内这一技术也被称为水泥窑协同处置（固废）技术。该技术通过在传统燃料中添加废弃物的方式减少煅烧的化石燃料的使用量，同时实现窑炉协同处理废弃物。现阶段已开发利用的替代燃料有1</w:t>
      </w:r>
      <w:r>
        <w:t>00</w:t>
      </w:r>
      <w:r>
        <w:rPr>
          <w:rFonts w:hint="eastAsia"/>
        </w:rPr>
        <w:t>多种，主要为工业废料和生活垃圾，比方说废旧轮胎、废油、污泥、塑料、废木屑，以及生物质燃料，例如木材、薪柴、农业废弃物、动物粪便等。</w:t>
      </w:r>
    </w:p>
    <w:p w14:paraId="603B17A5">
      <w:pPr>
        <w:pStyle w:val="11"/>
      </w:pPr>
      <w:r>
        <w:rPr>
          <w:rFonts w:hint="eastAsia"/>
        </w:rPr>
        <w:t>欧美等发达国家的废物收储体系和相应的政策规范相对健全，现已实现废弃物在水泥生产过程中的系统化应用。可燃废物在水泥工业中的应用替代比例平均2</w:t>
      </w:r>
      <w:r>
        <w:t>0</w:t>
      </w:r>
      <w:r>
        <w:rPr>
          <w:rFonts w:hint="eastAsia"/>
        </w:rPr>
        <w:t>%以上，欧洲地区水泥行业燃料替代比例接近5</w:t>
      </w:r>
      <w:r>
        <w:t>0</w:t>
      </w:r>
      <w:r>
        <w:rPr>
          <w:rFonts w:hint="eastAsia"/>
        </w:rPr>
        <w:t>%（武庆涛等.，2023）。近几年，我国水泥行业在水泥窑协同处置废物领域也进行了积极的尝试，并取得了一定的成果。华新水泥（阳新）有限公司实现日产6</w:t>
      </w:r>
      <w:r>
        <w:t>000</w:t>
      </w:r>
      <w:r>
        <w:rPr>
          <w:rFonts w:hint="eastAsia"/>
        </w:rPr>
        <w:t>吨熟料同步处理6</w:t>
      </w:r>
      <w:r>
        <w:t>00</w:t>
      </w:r>
      <w:r>
        <w:rPr>
          <w:rFonts w:hint="eastAsia"/>
        </w:rPr>
        <w:t>吨生活垃圾衍生原料，单位熟料煤耗约9</w:t>
      </w:r>
      <w:r>
        <w:t>3kgce/t</w:t>
      </w:r>
      <w:r>
        <w:rPr>
          <w:rFonts w:hint="eastAsia"/>
        </w:rPr>
        <w:t>，较2</w:t>
      </w:r>
      <w:r>
        <w:t>014</w:t>
      </w:r>
      <w:r>
        <w:rPr>
          <w:rFonts w:hint="eastAsia"/>
        </w:rPr>
        <w:t>年下降（住房和城乡建设部科技与产业化发展中心等.，2022）。但整体而言，我国水泥行业燃料替代水平与发达国家仍存在巨大差距，行业总体燃料替代率不足5%。</w:t>
      </w:r>
    </w:p>
    <w:p w14:paraId="60278F86">
      <w:pPr>
        <w:pStyle w:val="11"/>
      </w:pPr>
      <w:r>
        <w:rPr>
          <w:rFonts w:hint="eastAsia"/>
        </w:rPr>
        <w:t>我国水泥工业推广替代燃料技术主要受到两方面的限制。一是技术限制。虽然替代燃料技术难度不高，但是替代燃料的热值、品质、含水量和化石燃料存在差异，直接应用可能会影响熟料生产的稳定性，现有的水泥生产线还需对窑炉进行技术改造适应高比例的燃料替代。二是机制限制。要获得稳定的废弃物替代燃料，需要建立从废弃物产生、分选、收集、运输、储存、预处理和处置、污染物排放、水泥和混凝土质量等一系列法规和标准。受制于处置资源获取条件、垃圾分类制度等问题，我国水泥行业可获得替代燃料的时间段、种类较少，导致燃料收储困难、价格偏高、供应不足，并且存在与生物质发电资源关系。</w:t>
      </w:r>
    </w:p>
    <w:p w14:paraId="6262D096">
      <w:pPr>
        <w:pStyle w:val="11"/>
      </w:pPr>
      <w:r>
        <w:rPr>
          <w:rFonts w:hint="eastAsia"/>
        </w:rPr>
        <w:t>减少熟料煅烧排放的另一种方式是通过使用清洁能源替代煤炭，典型的思路有生物质燃气替代、氢气替代和电气化。不过上述技术思路当前仍停留在研发阶段。对于生物质燃气替代技术而言，由于其燃烧温度较低，无法满足熟料煅烧环节的高温条件，且易对水泥生产线物料平衡产生影响，因此当前大部分生物质燃气只能应用在温度要求较低的分解炉（9</w:t>
      </w:r>
      <w:r>
        <w:t>00</w:t>
      </w:r>
      <w:r>
        <w:rPr>
          <w:rFonts w:hint="eastAsia"/>
        </w:rPr>
        <w:t>℃左右）（武庆涛等.，2023）。对氢气替代技术而言，除氢气的制、储、运成本因素之外，由于氢气在燃烧过程中会产生大量水汽干扰熟料产出，并不适用于在窑炉中直接燃烧，技术实现还需解决汽气分离问题。电气化技术同样要解决能量密度不高、温度不够的问题，要对现有窑炉结构实施改造。国际范围内，已有海德堡水泥、L</w:t>
      </w:r>
      <w:r>
        <w:t>EILAC</w:t>
      </w:r>
      <w:r>
        <w:rPr>
          <w:rFonts w:hint="eastAsia"/>
        </w:rPr>
        <w:t>等在氢气替代和电加热领域开展试验项目，相关技术我国目前仍处于研发阶段。</w:t>
      </w:r>
    </w:p>
    <w:p w14:paraId="3CC9223A">
      <w:pPr>
        <w:pStyle w:val="12"/>
      </w:pPr>
      <w:r>
        <w:rPr>
          <w:rFonts w:hint="eastAsia"/>
        </w:rPr>
        <w:t>4.3.3 调整水泥结构降低熟料系数</w:t>
      </w:r>
    </w:p>
    <w:p w14:paraId="5F9B9F89">
      <w:pPr>
        <w:pStyle w:val="11"/>
      </w:pPr>
      <w:r>
        <w:rPr>
          <w:rFonts w:hint="eastAsia"/>
        </w:rPr>
        <w:t>鉴于水泥生产过程排放主要来自以石灰石为原料的熟料煅烧过程，减排的一个重要思路即通过原料替代减少石灰石的使用量。这一减排路线可进一步分为三个方式。</w:t>
      </w:r>
    </w:p>
    <w:p w14:paraId="5942533C">
      <w:pPr>
        <w:pStyle w:val="11"/>
      </w:pPr>
      <w:r>
        <w:rPr>
          <w:rFonts w:hint="eastAsia"/>
        </w:rPr>
        <w:t>一是降低熟料系数，通过添加粉煤灰、高炉矿渣等混合材料，减少水泥成品中的熟料比例，实现熟料利用率的最大化，从而减少单位成品的碳排放强度，同时实现大宗固废的资源综合利用。据估算，通过降低熟料系数可减少水泥生产中37%的C</w:t>
      </w:r>
      <w:r>
        <w:t>O2</w:t>
      </w:r>
      <w:r>
        <w:rPr>
          <w:rFonts w:hint="eastAsia"/>
        </w:rPr>
        <w:t>排放量。预计到2</w:t>
      </w:r>
      <w:r>
        <w:t>050</w:t>
      </w:r>
      <w:r>
        <w:rPr>
          <w:rFonts w:hint="eastAsia"/>
        </w:rPr>
        <w:t>年，通过资源综合利用以及符合水泥品种的开发，水泥产品的熟料系数将降到0</w:t>
      </w:r>
      <w:r>
        <w:t>.60</w:t>
      </w:r>
      <w:r>
        <w:rPr>
          <w:rFonts w:hint="eastAsia"/>
        </w:rPr>
        <w:t>。</w:t>
      </w:r>
    </w:p>
    <w:p w14:paraId="33AB3DB1">
      <w:pPr>
        <w:pStyle w:val="11"/>
      </w:pPr>
      <w:r>
        <w:rPr>
          <w:rFonts w:hint="eastAsia"/>
        </w:rPr>
        <w:t>水泥行业是我国大宗固废资源综合利用领域的主力军。大量使用固废作为混合材是我国水泥行业与其它行业协同减碳的重要举措，通过使用固体废物，结合超细粉磨等技术的应用，我国水泥的熟料利用系数可低至0</w:t>
      </w:r>
      <w:r>
        <w:t>.6</w:t>
      </w:r>
      <w:r>
        <w:rPr>
          <w:rFonts w:hint="eastAsia"/>
        </w:rPr>
        <w:t>（武庆涛等.，2023）。与其它国家相比，我国水泥产品熟料占比偏低，处于世界前列。</w:t>
      </w:r>
    </w:p>
    <w:p w14:paraId="5C6D24B0">
      <w:pPr>
        <w:pStyle w:val="13"/>
      </w:pPr>
      <w:r>
        <w:rPr>
          <w:rFonts w:hint="eastAsia"/>
        </w:rPr>
        <w:t>表4-2 国内主要大宗固废利用情况（碳达峰与碳中和水泥行业经验与路径P62）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9"/>
        <w:gridCol w:w="2847"/>
        <w:gridCol w:w="2866"/>
      </w:tblGrid>
      <w:tr w14:paraId="42BF4D08">
        <w:tc>
          <w:tcPr>
            <w:tcW w:w="3080" w:type="dxa"/>
            <w:shd w:val="clear" w:color="auto" w:fill="E7E6E6" w:themeFill="background2"/>
          </w:tcPr>
          <w:p w14:paraId="57980388">
            <w:pPr>
              <w:spacing w:after="0" w:line="240" w:lineRule="auto"/>
              <w:jc w:val="center"/>
              <w:rPr>
                <w:rFonts w:ascii="宋体" w:hAnsi="宋体" w:eastAsia="宋体"/>
                <w:b/>
                <w:bCs/>
                <w:sz w:val="24"/>
              </w:rPr>
            </w:pPr>
            <w:r>
              <w:rPr>
                <w:rFonts w:hint="eastAsia" w:ascii="宋体" w:hAnsi="宋体" w:eastAsia="宋体"/>
                <w:b/>
                <w:bCs/>
                <w:sz w:val="24"/>
              </w:rPr>
              <w:t>固废种类</w:t>
            </w:r>
          </w:p>
        </w:tc>
        <w:tc>
          <w:tcPr>
            <w:tcW w:w="3080" w:type="dxa"/>
            <w:shd w:val="clear" w:color="auto" w:fill="E7E6E6" w:themeFill="background2"/>
          </w:tcPr>
          <w:p w14:paraId="19097032">
            <w:pPr>
              <w:spacing w:after="0" w:line="240" w:lineRule="auto"/>
              <w:jc w:val="center"/>
              <w:rPr>
                <w:rFonts w:ascii="宋体" w:hAnsi="宋体" w:eastAsia="宋体"/>
                <w:b/>
                <w:bCs/>
                <w:sz w:val="24"/>
              </w:rPr>
            </w:pPr>
            <w:r>
              <w:rPr>
                <w:rFonts w:hint="eastAsia" w:ascii="宋体" w:hAnsi="宋体" w:eastAsia="宋体"/>
                <w:b/>
                <w:bCs/>
                <w:sz w:val="24"/>
              </w:rPr>
              <w:t>年新增量</w:t>
            </w:r>
          </w:p>
        </w:tc>
        <w:tc>
          <w:tcPr>
            <w:tcW w:w="3081" w:type="dxa"/>
            <w:shd w:val="clear" w:color="auto" w:fill="E7E6E6" w:themeFill="background2"/>
          </w:tcPr>
          <w:p w14:paraId="6014CBD2">
            <w:pPr>
              <w:spacing w:after="0" w:line="240" w:lineRule="auto"/>
              <w:jc w:val="center"/>
              <w:rPr>
                <w:rFonts w:ascii="宋体" w:hAnsi="宋体" w:eastAsia="宋体"/>
                <w:b/>
                <w:bCs/>
                <w:sz w:val="24"/>
              </w:rPr>
            </w:pPr>
            <w:r>
              <w:rPr>
                <w:rFonts w:hint="eastAsia" w:ascii="宋体" w:hAnsi="宋体" w:eastAsia="宋体"/>
                <w:b/>
                <w:bCs/>
                <w:sz w:val="24"/>
              </w:rPr>
              <w:t>目前利用水平</w:t>
            </w:r>
          </w:p>
        </w:tc>
      </w:tr>
      <w:tr w14:paraId="6691267A">
        <w:tc>
          <w:tcPr>
            <w:tcW w:w="3080" w:type="dxa"/>
          </w:tcPr>
          <w:p w14:paraId="4F973A90">
            <w:pPr>
              <w:spacing w:after="0" w:line="240" w:lineRule="auto"/>
              <w:jc w:val="center"/>
              <w:rPr>
                <w:rFonts w:ascii="宋体" w:hAnsi="宋体" w:eastAsia="宋体"/>
                <w:sz w:val="24"/>
              </w:rPr>
            </w:pPr>
            <w:r>
              <w:rPr>
                <w:rFonts w:hint="eastAsia" w:ascii="宋体" w:hAnsi="宋体" w:eastAsia="宋体"/>
                <w:sz w:val="24"/>
              </w:rPr>
              <w:t>高炉矿渣</w:t>
            </w:r>
          </w:p>
        </w:tc>
        <w:tc>
          <w:tcPr>
            <w:tcW w:w="3080" w:type="dxa"/>
          </w:tcPr>
          <w:p w14:paraId="4C855BDB">
            <w:pPr>
              <w:spacing w:after="0" w:line="240" w:lineRule="auto"/>
              <w:jc w:val="center"/>
              <w:rPr>
                <w:rFonts w:ascii="宋体" w:hAnsi="宋体" w:eastAsia="宋体"/>
                <w:sz w:val="24"/>
              </w:rPr>
            </w:pPr>
            <w:r>
              <w:rPr>
                <w:rFonts w:hint="eastAsia" w:ascii="宋体" w:hAnsi="宋体" w:eastAsia="宋体"/>
                <w:sz w:val="24"/>
              </w:rPr>
              <w:t>约2亿吨</w:t>
            </w:r>
          </w:p>
        </w:tc>
        <w:tc>
          <w:tcPr>
            <w:tcW w:w="3081" w:type="dxa"/>
          </w:tcPr>
          <w:p w14:paraId="1BC12C0C">
            <w:pPr>
              <w:spacing w:after="0" w:line="240" w:lineRule="auto"/>
              <w:jc w:val="center"/>
              <w:rPr>
                <w:rFonts w:ascii="宋体" w:hAnsi="宋体" w:eastAsia="宋体"/>
                <w:sz w:val="24"/>
              </w:rPr>
            </w:pPr>
            <w:r>
              <w:rPr>
                <w:rFonts w:hint="eastAsia" w:ascii="宋体" w:hAnsi="宋体" w:eastAsia="宋体"/>
                <w:sz w:val="24"/>
              </w:rPr>
              <w:t>约100%</w:t>
            </w:r>
          </w:p>
        </w:tc>
      </w:tr>
      <w:tr w14:paraId="5E469E07">
        <w:tc>
          <w:tcPr>
            <w:tcW w:w="3080" w:type="dxa"/>
          </w:tcPr>
          <w:p w14:paraId="53661D8E">
            <w:pPr>
              <w:spacing w:after="0" w:line="240" w:lineRule="auto"/>
              <w:jc w:val="center"/>
              <w:rPr>
                <w:rFonts w:ascii="宋体" w:hAnsi="宋体" w:eastAsia="宋体"/>
                <w:sz w:val="24"/>
              </w:rPr>
            </w:pPr>
            <w:r>
              <w:rPr>
                <w:rFonts w:hint="eastAsia" w:ascii="宋体" w:hAnsi="宋体" w:eastAsia="宋体"/>
                <w:sz w:val="24"/>
              </w:rPr>
              <w:t>粉煤灰</w:t>
            </w:r>
          </w:p>
        </w:tc>
        <w:tc>
          <w:tcPr>
            <w:tcW w:w="3080" w:type="dxa"/>
          </w:tcPr>
          <w:p w14:paraId="015235B7">
            <w:pPr>
              <w:spacing w:after="0" w:line="240" w:lineRule="auto"/>
              <w:jc w:val="center"/>
              <w:rPr>
                <w:rFonts w:ascii="宋体" w:hAnsi="宋体" w:eastAsia="宋体"/>
                <w:sz w:val="24"/>
              </w:rPr>
            </w:pPr>
            <w:r>
              <w:rPr>
                <w:rFonts w:hint="eastAsia" w:ascii="宋体" w:hAnsi="宋体" w:eastAsia="宋体"/>
                <w:sz w:val="24"/>
              </w:rPr>
              <w:t>约6亿吨</w:t>
            </w:r>
          </w:p>
        </w:tc>
        <w:tc>
          <w:tcPr>
            <w:tcW w:w="3081" w:type="dxa"/>
          </w:tcPr>
          <w:p w14:paraId="6AB56A97">
            <w:pPr>
              <w:spacing w:after="0" w:line="240" w:lineRule="auto"/>
              <w:jc w:val="center"/>
              <w:rPr>
                <w:rFonts w:ascii="宋体" w:hAnsi="宋体" w:eastAsia="宋体"/>
                <w:sz w:val="24"/>
              </w:rPr>
            </w:pPr>
            <w:r>
              <w:rPr>
                <w:rFonts w:hint="eastAsia" w:ascii="宋体" w:hAnsi="宋体" w:eastAsia="宋体"/>
                <w:sz w:val="24"/>
              </w:rPr>
              <w:t>约70%</w:t>
            </w:r>
          </w:p>
        </w:tc>
      </w:tr>
      <w:tr w14:paraId="3469B3E9">
        <w:tc>
          <w:tcPr>
            <w:tcW w:w="3080" w:type="dxa"/>
          </w:tcPr>
          <w:p w14:paraId="04145824">
            <w:pPr>
              <w:spacing w:after="0" w:line="240" w:lineRule="auto"/>
              <w:jc w:val="center"/>
              <w:rPr>
                <w:rFonts w:ascii="宋体" w:hAnsi="宋体" w:eastAsia="宋体"/>
                <w:sz w:val="24"/>
              </w:rPr>
            </w:pPr>
            <w:r>
              <w:rPr>
                <w:rFonts w:hint="eastAsia" w:ascii="宋体" w:hAnsi="宋体" w:eastAsia="宋体"/>
                <w:sz w:val="24"/>
              </w:rPr>
              <w:t>钢渣</w:t>
            </w:r>
          </w:p>
        </w:tc>
        <w:tc>
          <w:tcPr>
            <w:tcW w:w="3080" w:type="dxa"/>
          </w:tcPr>
          <w:p w14:paraId="44F2A1E1">
            <w:pPr>
              <w:spacing w:after="0" w:line="240" w:lineRule="auto"/>
              <w:jc w:val="center"/>
              <w:rPr>
                <w:rFonts w:ascii="宋体" w:hAnsi="宋体" w:eastAsia="宋体"/>
                <w:sz w:val="24"/>
              </w:rPr>
            </w:pPr>
            <w:r>
              <w:rPr>
                <w:rFonts w:hint="eastAsia" w:ascii="宋体" w:hAnsi="宋体" w:eastAsia="宋体"/>
                <w:sz w:val="24"/>
              </w:rPr>
              <w:t>约1.5亿吨</w:t>
            </w:r>
          </w:p>
        </w:tc>
        <w:tc>
          <w:tcPr>
            <w:tcW w:w="3081" w:type="dxa"/>
          </w:tcPr>
          <w:p w14:paraId="0236E656">
            <w:pPr>
              <w:spacing w:after="0" w:line="240" w:lineRule="auto"/>
              <w:jc w:val="center"/>
              <w:rPr>
                <w:rFonts w:ascii="宋体" w:hAnsi="宋体" w:eastAsia="宋体"/>
                <w:sz w:val="24"/>
              </w:rPr>
            </w:pPr>
            <w:r>
              <w:rPr>
                <w:rFonts w:hint="eastAsia" w:ascii="宋体" w:hAnsi="宋体" w:eastAsia="宋体"/>
                <w:sz w:val="24"/>
              </w:rPr>
              <w:t>30-40%</w:t>
            </w:r>
          </w:p>
        </w:tc>
      </w:tr>
      <w:tr w14:paraId="5A10CFAB">
        <w:tc>
          <w:tcPr>
            <w:tcW w:w="3080" w:type="dxa"/>
          </w:tcPr>
          <w:p w14:paraId="71002C01">
            <w:pPr>
              <w:spacing w:after="0" w:line="240" w:lineRule="auto"/>
              <w:jc w:val="center"/>
              <w:rPr>
                <w:rFonts w:ascii="宋体" w:hAnsi="宋体" w:eastAsia="宋体"/>
                <w:sz w:val="24"/>
              </w:rPr>
            </w:pPr>
            <w:r>
              <w:rPr>
                <w:rFonts w:hint="eastAsia" w:ascii="宋体" w:hAnsi="宋体" w:eastAsia="宋体"/>
                <w:sz w:val="24"/>
              </w:rPr>
              <w:t>工业副产石膏</w:t>
            </w:r>
          </w:p>
        </w:tc>
        <w:tc>
          <w:tcPr>
            <w:tcW w:w="3080" w:type="dxa"/>
          </w:tcPr>
          <w:p w14:paraId="1D01CCA0">
            <w:pPr>
              <w:spacing w:after="0" w:line="240" w:lineRule="auto"/>
              <w:jc w:val="center"/>
              <w:rPr>
                <w:rFonts w:ascii="宋体" w:hAnsi="宋体" w:eastAsia="宋体"/>
                <w:sz w:val="24"/>
              </w:rPr>
            </w:pPr>
            <w:r>
              <w:rPr>
                <w:rFonts w:hint="eastAsia" w:ascii="宋体" w:hAnsi="宋体" w:eastAsia="宋体"/>
                <w:sz w:val="24"/>
              </w:rPr>
              <w:t>约2亿吨</w:t>
            </w:r>
          </w:p>
        </w:tc>
        <w:tc>
          <w:tcPr>
            <w:tcW w:w="3081" w:type="dxa"/>
          </w:tcPr>
          <w:p w14:paraId="0E948716">
            <w:pPr>
              <w:spacing w:after="0" w:line="240" w:lineRule="auto"/>
              <w:jc w:val="center"/>
              <w:rPr>
                <w:rFonts w:ascii="宋体" w:hAnsi="宋体" w:eastAsia="宋体"/>
                <w:sz w:val="24"/>
              </w:rPr>
            </w:pPr>
            <w:r>
              <w:rPr>
                <w:rFonts w:hint="eastAsia" w:ascii="宋体" w:hAnsi="宋体" w:eastAsia="宋体"/>
                <w:sz w:val="24"/>
              </w:rPr>
              <w:t>约50%</w:t>
            </w:r>
          </w:p>
        </w:tc>
      </w:tr>
      <w:tr w14:paraId="462274EE">
        <w:tc>
          <w:tcPr>
            <w:tcW w:w="3080" w:type="dxa"/>
          </w:tcPr>
          <w:p w14:paraId="16A75DC3">
            <w:pPr>
              <w:spacing w:after="0" w:line="240" w:lineRule="auto"/>
              <w:jc w:val="center"/>
              <w:rPr>
                <w:rFonts w:ascii="宋体" w:hAnsi="宋体" w:eastAsia="宋体"/>
                <w:sz w:val="24"/>
              </w:rPr>
            </w:pPr>
            <w:r>
              <w:rPr>
                <w:rFonts w:hint="eastAsia" w:ascii="宋体" w:hAnsi="宋体" w:eastAsia="宋体"/>
                <w:sz w:val="24"/>
              </w:rPr>
              <w:t>煤矸石</w:t>
            </w:r>
          </w:p>
        </w:tc>
        <w:tc>
          <w:tcPr>
            <w:tcW w:w="3080" w:type="dxa"/>
          </w:tcPr>
          <w:p w14:paraId="721CB603">
            <w:pPr>
              <w:spacing w:after="0" w:line="240" w:lineRule="auto"/>
              <w:jc w:val="center"/>
              <w:rPr>
                <w:rFonts w:ascii="宋体" w:hAnsi="宋体" w:eastAsia="宋体"/>
                <w:sz w:val="24"/>
              </w:rPr>
            </w:pPr>
            <w:r>
              <w:rPr>
                <w:rFonts w:hint="eastAsia" w:ascii="宋体" w:hAnsi="宋体" w:eastAsia="宋体"/>
                <w:sz w:val="24"/>
              </w:rPr>
              <w:t>约8亿吨</w:t>
            </w:r>
          </w:p>
        </w:tc>
        <w:tc>
          <w:tcPr>
            <w:tcW w:w="3081" w:type="dxa"/>
          </w:tcPr>
          <w:p w14:paraId="1335FBA0">
            <w:pPr>
              <w:spacing w:after="0" w:line="240" w:lineRule="auto"/>
              <w:jc w:val="center"/>
              <w:rPr>
                <w:rFonts w:ascii="宋体" w:hAnsi="宋体" w:eastAsia="宋体"/>
                <w:sz w:val="24"/>
              </w:rPr>
            </w:pPr>
            <w:r>
              <w:rPr>
                <w:rFonts w:hint="eastAsia" w:ascii="宋体" w:hAnsi="宋体" w:eastAsia="宋体"/>
                <w:sz w:val="24"/>
              </w:rPr>
              <w:t>约30%</w:t>
            </w:r>
          </w:p>
        </w:tc>
      </w:tr>
      <w:tr w14:paraId="0B74E7A4">
        <w:tc>
          <w:tcPr>
            <w:tcW w:w="3080" w:type="dxa"/>
          </w:tcPr>
          <w:p w14:paraId="10DE4A17">
            <w:pPr>
              <w:spacing w:after="0" w:line="240" w:lineRule="auto"/>
              <w:jc w:val="center"/>
              <w:rPr>
                <w:rFonts w:ascii="宋体" w:hAnsi="宋体" w:eastAsia="宋体"/>
                <w:sz w:val="24"/>
              </w:rPr>
            </w:pPr>
            <w:r>
              <w:rPr>
                <w:rFonts w:hint="eastAsia" w:ascii="宋体" w:hAnsi="宋体" w:eastAsia="宋体"/>
                <w:sz w:val="24"/>
              </w:rPr>
              <w:t>建筑垃圾</w:t>
            </w:r>
          </w:p>
        </w:tc>
        <w:tc>
          <w:tcPr>
            <w:tcW w:w="3080" w:type="dxa"/>
          </w:tcPr>
          <w:p w14:paraId="19260D3F">
            <w:pPr>
              <w:spacing w:after="0" w:line="240" w:lineRule="auto"/>
              <w:jc w:val="center"/>
              <w:rPr>
                <w:rFonts w:ascii="宋体" w:hAnsi="宋体" w:eastAsia="宋体"/>
                <w:sz w:val="24"/>
              </w:rPr>
            </w:pPr>
            <w:r>
              <w:rPr>
                <w:rFonts w:hint="eastAsia" w:ascii="宋体" w:hAnsi="宋体" w:eastAsia="宋体"/>
                <w:sz w:val="24"/>
              </w:rPr>
              <w:t>20-30亿吨</w:t>
            </w:r>
          </w:p>
        </w:tc>
        <w:tc>
          <w:tcPr>
            <w:tcW w:w="3081" w:type="dxa"/>
          </w:tcPr>
          <w:p w14:paraId="1E6CAACA">
            <w:pPr>
              <w:spacing w:after="0" w:line="240" w:lineRule="auto"/>
              <w:jc w:val="center"/>
              <w:rPr>
                <w:rFonts w:ascii="宋体" w:hAnsi="宋体" w:eastAsia="宋体"/>
                <w:sz w:val="24"/>
              </w:rPr>
            </w:pPr>
            <w:r>
              <w:rPr>
                <w:rFonts w:hint="eastAsia" w:ascii="宋体" w:hAnsi="宋体" w:eastAsia="宋体"/>
                <w:sz w:val="24"/>
              </w:rPr>
              <w:t>约10%</w:t>
            </w:r>
          </w:p>
        </w:tc>
      </w:tr>
    </w:tbl>
    <w:p w14:paraId="2B6A9FFA">
      <w:pPr>
        <w:pStyle w:val="11"/>
      </w:pPr>
      <w:r>
        <w:rPr>
          <w:rFonts w:hint="eastAsia"/>
        </w:rPr>
        <w:t>二是低碳原料替代，用钢渣、电石渣、硅钙渣、粉煤灰等含钙工业废渣替代石灰石作为煅烧原料，从而降低熟料生产环节的过程排放。但部分研究认为，随着我国工业废弃物循环利用水平的增长，可供使用的钢渣、硅钙渣替代原料总量有限，该路线只能作为短期减排措施。</w:t>
      </w:r>
    </w:p>
    <w:p w14:paraId="1ED5E433">
      <w:pPr>
        <w:pStyle w:val="11"/>
      </w:pPr>
      <w:r>
        <w:rPr>
          <w:rFonts w:hint="eastAsia"/>
        </w:rPr>
        <w:t>三是开发新型低碳水泥，通过减少水泥熟料中硅酸钙的比例，从源头摆脱水泥生产对石灰石原料的依赖（落基山研究所和中国水泥协会，2022）。现有的新型低碳水泥材料有高贝利特水泥、硫铝酸盐水泥、S</w:t>
      </w:r>
      <w:r>
        <w:t>olidia</w:t>
      </w:r>
      <w:r>
        <w:rPr>
          <w:rFonts w:hint="eastAsia"/>
        </w:rPr>
        <w:t>水泥、C</w:t>
      </w:r>
      <w:r>
        <w:t>elitement</w:t>
      </w:r>
      <w:r>
        <w:rPr>
          <w:rFonts w:hint="eastAsia"/>
        </w:rPr>
        <w:t>水泥、X</w:t>
      </w:r>
      <w:r>
        <w:t>-Clinker</w:t>
      </w:r>
      <w:r>
        <w:rPr>
          <w:rFonts w:hint="eastAsia"/>
        </w:rPr>
        <w:t>水泥、硫氢镁化合物水泥等。这些新型水泥目前仍处在小范围的研发应用中，在稳定性、耐久性、经济性以及原料的可用性方面与传统硅酸盐水泥相比仍存在差距。</w:t>
      </w:r>
    </w:p>
    <w:p w14:paraId="3EC1A343">
      <w:pPr>
        <w:pStyle w:val="12"/>
      </w:pPr>
      <w:r>
        <w:rPr>
          <w:rFonts w:hint="eastAsia"/>
        </w:rPr>
        <w:t>4.3.4 碳捕捉封存和利用及其它低碳技术</w:t>
      </w:r>
    </w:p>
    <w:p w14:paraId="78DC8D34">
      <w:pPr>
        <w:pStyle w:val="11"/>
      </w:pPr>
      <w:r>
        <w:rPr>
          <w:rFonts w:hint="eastAsia"/>
        </w:rPr>
        <w:t>虽然水泥行业在降低熟料系数、减少石灰石用量方进行了大量尝试，但短期内，传统的熟料生产工艺仍将是绝对主流，水泥生产中的工艺排放难以完全消除。想要实现碳中和，水泥行业仍需发展碳捕捉、利用与封存技术抵消熟料煅烧中的过程排放。国内部分水泥企业已着手开展C</w:t>
      </w:r>
      <w:r>
        <w:t>CUS</w:t>
      </w:r>
      <w:r>
        <w:rPr>
          <w:rFonts w:hint="eastAsia"/>
        </w:rPr>
        <w:t>示范应用，例如海螺集团采用燃烧后捕集的化学吸收法路线，实现5万吨/年的二氧化碳捕集能力并产出食品级的液态二氧化碳产品。目前限制C</w:t>
      </w:r>
      <w:r>
        <w:t>CUS</w:t>
      </w:r>
      <w:r>
        <w:rPr>
          <w:rFonts w:hint="eastAsia"/>
        </w:rPr>
        <w:t>推广的仍然是成本，据推算，加装C</w:t>
      </w:r>
      <w:r>
        <w:t>CUS</w:t>
      </w:r>
      <w:r>
        <w:rPr>
          <w:rFonts w:hint="eastAsia"/>
        </w:rPr>
        <w:t>的工厂的运营成本是传统水泥厂的两倍。与此同时，我国水泥行业空间格局分散、行业集中度不高，也将限制未来碳捕集利用与封存的部署应用（武庆涛等.，2023）。</w:t>
      </w:r>
    </w:p>
    <w:p w14:paraId="303B72E5">
      <w:pPr>
        <w:pStyle w:val="11"/>
      </w:pPr>
      <w:r>
        <w:rPr>
          <w:rFonts w:hint="eastAsia"/>
        </w:rPr>
        <w:t>根据行业内分析，碳捕集利用封存技术对水泥生产减排的贡献为4</w:t>
      </w:r>
      <w:r>
        <w:t>8</w:t>
      </w:r>
      <w:r>
        <w:rPr>
          <w:rFonts w:hint="eastAsia"/>
        </w:rPr>
        <w:t>%，降低熟料系数的贡献为3</w:t>
      </w:r>
      <w:r>
        <w:t>7</w:t>
      </w:r>
      <w:r>
        <w:rPr>
          <w:rFonts w:hint="eastAsia"/>
        </w:rPr>
        <w:t>%，提高替代燃料比例对减排的贡献排第三位，最后是提高能源效率（武庆涛等.，2023）。</w:t>
      </w:r>
    </w:p>
    <w:p w14:paraId="1F0C58C2">
      <w:pPr>
        <w:pStyle w:val="10"/>
      </w:pPr>
      <w:bookmarkStart w:id="0" w:name="_Toc2630"/>
      <w:r>
        <w:rPr>
          <w:rFonts w:hint="eastAsia"/>
        </w:rPr>
        <w:t>4.4 “双碳”目标下水泥行业融资需求分析</w:t>
      </w:r>
      <w:bookmarkEnd w:id="0"/>
    </w:p>
    <w:p w14:paraId="0DA034AB">
      <w:pPr>
        <w:pStyle w:val="12"/>
      </w:pPr>
      <w:r>
        <w:rPr>
          <w:rFonts w:hint="eastAsia"/>
        </w:rPr>
        <w:t>4.4.1 重点融资领域</w:t>
      </w:r>
    </w:p>
    <w:p w14:paraId="35E8001B">
      <w:pPr>
        <w:pStyle w:val="11"/>
      </w:pPr>
      <w:r>
        <w:rPr>
          <w:rFonts w:hint="eastAsia"/>
        </w:rPr>
        <w:t>上述水泥行业减排的四条实现途径中，提高能源效率路线已有较为成熟的技术体系，开发替代燃料路线也有一定的行业积累，而开发新型水泥、发展新兴低碳技术两条路线研发难度极高，需要大量的研发投入。但考虑到水泥行业的整体发展前景和行业目前的盈利能力，以及下游产业对绿色水泥需求较为有限，水泥企业开展技术研发的投资和回报不成比例，不少企业选择走业务多元化路线寻找新的盈利增长点，而不是加大研发投入。加之短期内国内房地产行业仍处于深度调整阶段，水泥需求修复缓慢，水泥行业总体呈现“价格低位下行、效益大幅下滑”的运行特征（世经未来，2023），前3季度全国累计水泥产量创近13年以来同期最低，行业利润同比降幅仍达60%左右，企业亏损面扩大，进一步削弱了企业的抗风险能力和减排技术研发投资意愿，水泥行业减排融资需求相对有限。结合近期国家政策要求和水泥企业公开的投资项目看，融资需求主要集中在旧有产能置换、超低排放改造以及CCUS技术研发。</w:t>
      </w:r>
    </w:p>
    <w:p w14:paraId="3F1F8D3E">
      <w:pPr>
        <w:pStyle w:val="11"/>
      </w:pPr>
      <w:r>
        <w:rPr>
          <w:rFonts w:hint="eastAsia"/>
        </w:rPr>
        <w:t>产能置换。2022年我国新投运熟料生产线19条，涉及产能约3400万吨（2023年水泥行业分析），现阶段我国新建水泥生产线资金需求约600-850元/吨，据此推算产能置换的年资金需求约为204-289亿元（孙星寿，2022）。但考虑到我国水泥产能实际过剩，产能利用率较低，后期管控逐步趋严，水泥行业产能置换相关融资需求应谨慎满足。</w:t>
      </w:r>
    </w:p>
    <w:p w14:paraId="67EB8A5B">
      <w:pPr>
        <w:pStyle w:val="11"/>
      </w:pPr>
      <w:r>
        <w:rPr>
          <w:rFonts w:hint="eastAsia"/>
        </w:rPr>
        <w:t>超低排放改造。2023年11月，生态环境部审议并原则通过《关于推进实施水泥行业超低排放的意见》，加快推动水泥企业开展超低排放改造。根据《意见》，到2025年底、2028年底前，全国水泥熟料产能中分别有30%、80%达到能效标杆水平（世经未来，2023）。我国水泥熟料现有产能约18.2亿吨，其中5%达到能效标杆水平。据此估算，到2025年、2028年，水泥行业超低排放改造产能分别约4.6亿吨、13.7亿吨。5000t/d水泥生产线系统改造升级投资约为1.8亿元（孙星寿，2022），据此估算，到2028年，国内水泥行业超低排放改造融资需求约1500亿元。</w:t>
      </w:r>
    </w:p>
    <w:p w14:paraId="1540412A">
      <w:pPr>
        <w:pStyle w:val="11"/>
      </w:pPr>
      <w:r>
        <w:rPr>
          <w:rFonts w:hint="eastAsia"/>
        </w:rPr>
        <w:t>CCUS技术研发。截至2023年，国内已有8个水泥建材行业CCUS试点项目投产或在建，相关技术研发和应用正在稳步推进中。但现阶段CCUS项目投资金额大、运行成本高——根据已有项目数据，水泥行业10万吨级</w:t>
      </w:r>
      <w:r>
        <w:rPr>
          <w:rStyle w:val="9"/>
          <w:rFonts w:hint="eastAsia"/>
        </w:rPr>
        <w:footnoteReference w:id="0"/>
      </w:r>
      <w:r>
        <w:rPr>
          <w:rFonts w:hint="eastAsia"/>
        </w:rPr>
        <w:t>CCUS项目初始投资约为2亿元，在现有技术水平下，项目投入运营后单吨CO2捕集成本达400-500元，而当前食品级CO2价格仅约为400元/吨（中国水泥网，2024），无法实现盈利。高强度技术研发活动和新建项目投资将可能导致企业经营压力上升，短期内有关融资需求主要集中在头部水泥集团。</w:t>
      </w:r>
    </w:p>
    <w:p w14:paraId="7BAB4117">
      <w:pPr>
        <w:pStyle w:val="13"/>
      </w:pPr>
      <w:r>
        <w:rPr>
          <w:rFonts w:hint="eastAsia"/>
        </w:rPr>
        <w:t>表4-3 部分水泥建材行业CCUS项目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4"/>
        <w:gridCol w:w="1758"/>
      </w:tblGrid>
      <w:tr w14:paraId="63B2F3B0">
        <w:tc>
          <w:tcPr>
            <w:tcW w:w="7371" w:type="dxa"/>
            <w:shd w:val="clear" w:color="auto" w:fill="E7E6E6" w:themeFill="background2"/>
          </w:tcPr>
          <w:p w14:paraId="28632552">
            <w:pPr>
              <w:spacing w:after="0" w:line="240" w:lineRule="auto"/>
              <w:jc w:val="center"/>
              <w:rPr>
                <w:rFonts w:ascii="宋体" w:hAnsi="宋体" w:eastAsia="宋体"/>
                <w:b/>
                <w:bCs/>
                <w:sz w:val="24"/>
              </w:rPr>
            </w:pPr>
            <w:r>
              <w:rPr>
                <w:rFonts w:hint="eastAsia" w:ascii="宋体" w:hAnsi="宋体" w:eastAsia="宋体"/>
                <w:b/>
                <w:bCs/>
                <w:sz w:val="24"/>
              </w:rPr>
              <w:t>项目名称</w:t>
            </w:r>
          </w:p>
        </w:tc>
        <w:tc>
          <w:tcPr>
            <w:tcW w:w="1870" w:type="dxa"/>
            <w:shd w:val="clear" w:color="auto" w:fill="E7E6E6" w:themeFill="background2"/>
          </w:tcPr>
          <w:p w14:paraId="6486717D">
            <w:pPr>
              <w:spacing w:after="0" w:line="240" w:lineRule="auto"/>
              <w:jc w:val="center"/>
              <w:rPr>
                <w:rFonts w:ascii="宋体" w:hAnsi="宋体" w:eastAsia="宋体"/>
                <w:b/>
                <w:bCs/>
                <w:sz w:val="24"/>
              </w:rPr>
            </w:pPr>
            <w:r>
              <w:rPr>
                <w:rFonts w:hint="eastAsia" w:ascii="宋体" w:hAnsi="宋体" w:eastAsia="宋体"/>
                <w:b/>
                <w:bCs/>
                <w:sz w:val="24"/>
              </w:rPr>
              <w:t>投资规模</w:t>
            </w:r>
          </w:p>
        </w:tc>
      </w:tr>
      <w:tr w14:paraId="3FBBAFE7">
        <w:tc>
          <w:tcPr>
            <w:tcW w:w="7371" w:type="dxa"/>
          </w:tcPr>
          <w:p w14:paraId="496D6308">
            <w:pPr>
              <w:spacing w:after="0" w:line="240" w:lineRule="auto"/>
              <w:jc w:val="center"/>
              <w:rPr>
                <w:rFonts w:ascii="宋体" w:hAnsi="宋体" w:eastAsia="宋体"/>
                <w:sz w:val="24"/>
              </w:rPr>
            </w:pPr>
            <w:r>
              <w:rPr>
                <w:rFonts w:hint="eastAsia" w:ascii="宋体" w:hAnsi="宋体" w:eastAsia="宋体"/>
                <w:sz w:val="24"/>
              </w:rPr>
              <w:t>海螺集团芜湖水泥厂5万吨CO2捕集与纯化示范项目</w:t>
            </w:r>
          </w:p>
        </w:tc>
        <w:tc>
          <w:tcPr>
            <w:tcW w:w="1870" w:type="dxa"/>
          </w:tcPr>
          <w:p w14:paraId="7D82666B">
            <w:pPr>
              <w:spacing w:after="0" w:line="240" w:lineRule="auto"/>
              <w:jc w:val="center"/>
              <w:rPr>
                <w:rFonts w:ascii="宋体" w:hAnsi="宋体" w:eastAsia="宋体"/>
                <w:sz w:val="24"/>
              </w:rPr>
            </w:pPr>
            <w:r>
              <w:rPr>
                <w:rFonts w:hint="eastAsia" w:ascii="宋体" w:hAnsi="宋体" w:eastAsia="宋体"/>
                <w:sz w:val="24"/>
              </w:rPr>
              <w:t>-</w:t>
            </w:r>
          </w:p>
        </w:tc>
      </w:tr>
      <w:tr w14:paraId="61A056A8">
        <w:tc>
          <w:tcPr>
            <w:tcW w:w="7371" w:type="dxa"/>
          </w:tcPr>
          <w:p w14:paraId="71E995A8">
            <w:pPr>
              <w:spacing w:after="0" w:line="240" w:lineRule="auto"/>
              <w:jc w:val="center"/>
              <w:rPr>
                <w:rFonts w:ascii="宋体" w:hAnsi="宋体" w:eastAsia="宋体"/>
                <w:sz w:val="24"/>
              </w:rPr>
            </w:pPr>
            <w:r>
              <w:rPr>
                <w:rFonts w:hint="eastAsia" w:ascii="宋体" w:hAnsi="宋体" w:eastAsia="宋体"/>
                <w:sz w:val="24"/>
              </w:rPr>
              <w:t>中建材（合肥）新能源光伏电池封装材料二期暨CO2捕集提纯项目（5万吨）（玻璃熔炉）</w:t>
            </w:r>
          </w:p>
        </w:tc>
        <w:tc>
          <w:tcPr>
            <w:tcW w:w="1870" w:type="dxa"/>
          </w:tcPr>
          <w:p w14:paraId="2B57F0ED">
            <w:pPr>
              <w:spacing w:after="0" w:line="240" w:lineRule="auto"/>
              <w:jc w:val="center"/>
              <w:rPr>
                <w:rFonts w:ascii="宋体" w:hAnsi="宋体" w:eastAsia="宋体"/>
                <w:sz w:val="24"/>
              </w:rPr>
            </w:pPr>
            <w:r>
              <w:rPr>
                <w:rFonts w:hint="eastAsia" w:ascii="宋体" w:hAnsi="宋体" w:eastAsia="宋体"/>
                <w:sz w:val="24"/>
              </w:rPr>
              <w:t>25亿元</w:t>
            </w:r>
          </w:p>
        </w:tc>
      </w:tr>
      <w:tr w14:paraId="7F096954">
        <w:tc>
          <w:tcPr>
            <w:tcW w:w="7371" w:type="dxa"/>
          </w:tcPr>
          <w:p w14:paraId="2B3090E1">
            <w:pPr>
              <w:spacing w:after="0" w:line="240" w:lineRule="auto"/>
              <w:jc w:val="center"/>
              <w:rPr>
                <w:rFonts w:ascii="宋体" w:hAnsi="宋体" w:eastAsia="宋体"/>
                <w:sz w:val="24"/>
              </w:rPr>
            </w:pPr>
            <w:r>
              <w:rPr>
                <w:rFonts w:hint="eastAsia" w:ascii="宋体" w:hAnsi="宋体" w:eastAsia="宋体"/>
                <w:sz w:val="24"/>
              </w:rPr>
              <w:t>青山中联水泥（中国建材）20万吨二氧化碳全氧燃烧富集提纯示范项目</w:t>
            </w:r>
          </w:p>
        </w:tc>
        <w:tc>
          <w:tcPr>
            <w:tcW w:w="1870" w:type="dxa"/>
          </w:tcPr>
          <w:p w14:paraId="32887DE7">
            <w:pPr>
              <w:spacing w:after="0" w:line="240" w:lineRule="auto"/>
              <w:jc w:val="center"/>
              <w:rPr>
                <w:rFonts w:ascii="宋体" w:hAnsi="宋体" w:eastAsia="宋体"/>
                <w:sz w:val="24"/>
              </w:rPr>
            </w:pPr>
            <w:r>
              <w:rPr>
                <w:rFonts w:hint="eastAsia" w:ascii="宋体" w:hAnsi="宋体" w:eastAsia="宋体"/>
                <w:sz w:val="24"/>
              </w:rPr>
              <w:t>2.56亿元</w:t>
            </w:r>
          </w:p>
        </w:tc>
      </w:tr>
      <w:tr w14:paraId="0C50C4B8">
        <w:tc>
          <w:tcPr>
            <w:tcW w:w="7371" w:type="dxa"/>
          </w:tcPr>
          <w:p w14:paraId="7474DA75">
            <w:pPr>
              <w:spacing w:after="0" w:line="240" w:lineRule="auto"/>
              <w:jc w:val="center"/>
              <w:rPr>
                <w:rFonts w:ascii="宋体" w:hAnsi="宋体" w:eastAsia="宋体"/>
                <w:sz w:val="24"/>
              </w:rPr>
            </w:pPr>
            <w:r>
              <w:rPr>
                <w:rFonts w:hint="eastAsia" w:ascii="宋体" w:hAnsi="宋体" w:eastAsia="宋体"/>
                <w:sz w:val="24"/>
              </w:rPr>
              <w:t>金隅集团琉璃河水泥厂CO2捕集及应用项目</w:t>
            </w:r>
          </w:p>
        </w:tc>
        <w:tc>
          <w:tcPr>
            <w:tcW w:w="1870" w:type="dxa"/>
          </w:tcPr>
          <w:p w14:paraId="488CAF9A">
            <w:pPr>
              <w:spacing w:after="0" w:line="240" w:lineRule="auto"/>
              <w:jc w:val="center"/>
              <w:rPr>
                <w:rFonts w:ascii="宋体" w:hAnsi="宋体" w:eastAsia="宋体"/>
                <w:sz w:val="24"/>
              </w:rPr>
            </w:pPr>
            <w:r>
              <w:rPr>
                <w:rFonts w:hint="eastAsia" w:ascii="宋体" w:hAnsi="宋体" w:eastAsia="宋体"/>
                <w:sz w:val="24"/>
              </w:rPr>
              <w:t>-</w:t>
            </w:r>
          </w:p>
        </w:tc>
      </w:tr>
      <w:tr w14:paraId="178868CA">
        <w:tc>
          <w:tcPr>
            <w:tcW w:w="7371" w:type="dxa"/>
          </w:tcPr>
          <w:p w14:paraId="23BFE3B5">
            <w:pPr>
              <w:spacing w:after="0" w:line="240" w:lineRule="auto"/>
              <w:jc w:val="center"/>
              <w:rPr>
                <w:rFonts w:ascii="宋体" w:hAnsi="宋体" w:eastAsia="宋体"/>
                <w:sz w:val="24"/>
              </w:rPr>
            </w:pPr>
            <w:r>
              <w:rPr>
                <w:rFonts w:hint="eastAsia" w:ascii="宋体" w:hAnsi="宋体" w:eastAsia="宋体"/>
                <w:sz w:val="24"/>
              </w:rPr>
              <w:t>金隅北水环保10万吨二氧化碳捕集、封存及资源化利用科技示范项目</w:t>
            </w:r>
          </w:p>
        </w:tc>
        <w:tc>
          <w:tcPr>
            <w:tcW w:w="1870" w:type="dxa"/>
          </w:tcPr>
          <w:p w14:paraId="39B06113">
            <w:pPr>
              <w:spacing w:after="0" w:line="240" w:lineRule="auto"/>
              <w:jc w:val="center"/>
              <w:rPr>
                <w:rFonts w:ascii="宋体" w:hAnsi="宋体" w:eastAsia="宋体"/>
                <w:sz w:val="24"/>
              </w:rPr>
            </w:pPr>
            <w:r>
              <w:rPr>
                <w:rFonts w:hint="eastAsia" w:ascii="宋体" w:hAnsi="宋体" w:eastAsia="宋体"/>
                <w:sz w:val="24"/>
              </w:rPr>
              <w:t>1.8亿元</w:t>
            </w:r>
          </w:p>
        </w:tc>
      </w:tr>
      <w:tr w14:paraId="46AE9E5C">
        <w:tc>
          <w:tcPr>
            <w:tcW w:w="7371" w:type="dxa"/>
          </w:tcPr>
          <w:p w14:paraId="54B84F42">
            <w:pPr>
              <w:spacing w:after="0" w:line="240" w:lineRule="auto"/>
              <w:jc w:val="center"/>
              <w:rPr>
                <w:rFonts w:ascii="宋体" w:hAnsi="宋体" w:eastAsia="宋体"/>
                <w:sz w:val="24"/>
              </w:rPr>
            </w:pPr>
            <w:r>
              <w:rPr>
                <w:rFonts w:hint="eastAsia" w:ascii="宋体" w:hAnsi="宋体" w:eastAsia="宋体"/>
                <w:sz w:val="24"/>
              </w:rPr>
              <w:t>北京建材研究总院复杂烟气环境下CO2捕集技术示范项目</w:t>
            </w:r>
          </w:p>
        </w:tc>
        <w:tc>
          <w:tcPr>
            <w:tcW w:w="1870" w:type="dxa"/>
          </w:tcPr>
          <w:p w14:paraId="77698C3D">
            <w:pPr>
              <w:spacing w:after="0" w:line="240" w:lineRule="auto"/>
              <w:jc w:val="center"/>
              <w:rPr>
                <w:rFonts w:ascii="宋体" w:hAnsi="宋体" w:eastAsia="宋体"/>
                <w:sz w:val="24"/>
              </w:rPr>
            </w:pPr>
            <w:r>
              <w:rPr>
                <w:rFonts w:hint="eastAsia" w:ascii="宋体" w:hAnsi="宋体" w:eastAsia="宋体"/>
                <w:sz w:val="24"/>
              </w:rPr>
              <w:t>-</w:t>
            </w:r>
          </w:p>
        </w:tc>
      </w:tr>
    </w:tbl>
    <w:p w14:paraId="2A51E9B3">
      <w:pPr>
        <w:pStyle w:val="13"/>
      </w:pPr>
      <w:r>
        <w:rPr>
          <w:rFonts w:hint="eastAsia"/>
        </w:rPr>
        <w:t>表4-4 2025-2060年水泥行业CCUS二氧化碳减排需求潜力（亿吨/年）（中国二氧化碳捕集利用与封存年度报告2021）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7"/>
        <w:gridCol w:w="1500"/>
        <w:gridCol w:w="1358"/>
        <w:gridCol w:w="1215"/>
        <w:gridCol w:w="1215"/>
        <w:gridCol w:w="1215"/>
        <w:gridCol w:w="1215"/>
      </w:tblGrid>
      <w:tr w14:paraId="64DDE543">
        <w:tc>
          <w:tcPr>
            <w:tcW w:w="797" w:type="dxa"/>
            <w:shd w:val="clear" w:color="auto" w:fill="E7E6E6" w:themeFill="background2"/>
          </w:tcPr>
          <w:p w14:paraId="0DB74617">
            <w:pPr>
              <w:spacing w:after="0" w:line="240" w:lineRule="auto"/>
              <w:jc w:val="center"/>
              <w:rPr>
                <w:rFonts w:ascii="宋体" w:hAnsi="宋体" w:eastAsia="宋体"/>
                <w:b/>
                <w:bCs/>
                <w:sz w:val="24"/>
              </w:rPr>
            </w:pPr>
            <w:r>
              <w:rPr>
                <w:rFonts w:hint="eastAsia" w:ascii="宋体" w:hAnsi="宋体" w:eastAsia="宋体"/>
                <w:b/>
                <w:bCs/>
                <w:sz w:val="24"/>
              </w:rPr>
              <w:t>年份</w:t>
            </w:r>
          </w:p>
        </w:tc>
        <w:tc>
          <w:tcPr>
            <w:tcW w:w="1500" w:type="dxa"/>
            <w:shd w:val="clear" w:color="auto" w:fill="E7E6E6" w:themeFill="background2"/>
          </w:tcPr>
          <w:p w14:paraId="718BF6BC">
            <w:pPr>
              <w:spacing w:after="0" w:line="240" w:lineRule="auto"/>
              <w:jc w:val="center"/>
              <w:rPr>
                <w:rFonts w:ascii="宋体" w:hAnsi="宋体" w:eastAsia="宋体"/>
                <w:b/>
                <w:bCs/>
                <w:sz w:val="24"/>
              </w:rPr>
            </w:pPr>
            <w:r>
              <w:rPr>
                <w:rFonts w:hint="eastAsia" w:ascii="宋体" w:hAnsi="宋体" w:eastAsia="宋体"/>
                <w:b/>
                <w:bCs/>
                <w:sz w:val="24"/>
              </w:rPr>
              <w:t>2025</w:t>
            </w:r>
          </w:p>
        </w:tc>
        <w:tc>
          <w:tcPr>
            <w:tcW w:w="1358" w:type="dxa"/>
            <w:shd w:val="clear" w:color="auto" w:fill="E7E6E6" w:themeFill="background2"/>
          </w:tcPr>
          <w:p w14:paraId="7747C69B">
            <w:pPr>
              <w:spacing w:after="0" w:line="240" w:lineRule="auto"/>
              <w:jc w:val="center"/>
              <w:rPr>
                <w:rFonts w:ascii="宋体" w:hAnsi="宋体" w:eastAsia="宋体"/>
                <w:b/>
                <w:bCs/>
                <w:sz w:val="24"/>
              </w:rPr>
            </w:pPr>
            <w:r>
              <w:rPr>
                <w:rFonts w:hint="eastAsia" w:ascii="宋体" w:hAnsi="宋体" w:eastAsia="宋体"/>
                <w:b/>
                <w:bCs/>
                <w:sz w:val="24"/>
              </w:rPr>
              <w:t>2030</w:t>
            </w:r>
          </w:p>
        </w:tc>
        <w:tc>
          <w:tcPr>
            <w:tcW w:w="1215" w:type="dxa"/>
            <w:shd w:val="clear" w:color="auto" w:fill="E7E6E6" w:themeFill="background2"/>
          </w:tcPr>
          <w:p w14:paraId="7CFE1A5C">
            <w:pPr>
              <w:spacing w:after="0" w:line="240" w:lineRule="auto"/>
              <w:jc w:val="center"/>
              <w:rPr>
                <w:rFonts w:ascii="宋体" w:hAnsi="宋体" w:eastAsia="宋体"/>
                <w:b/>
                <w:bCs/>
                <w:sz w:val="24"/>
              </w:rPr>
            </w:pPr>
            <w:r>
              <w:rPr>
                <w:rFonts w:hint="eastAsia" w:ascii="宋体" w:hAnsi="宋体" w:eastAsia="宋体"/>
                <w:b/>
                <w:bCs/>
                <w:sz w:val="24"/>
              </w:rPr>
              <w:t>2035</w:t>
            </w:r>
          </w:p>
        </w:tc>
        <w:tc>
          <w:tcPr>
            <w:tcW w:w="1215" w:type="dxa"/>
            <w:shd w:val="clear" w:color="auto" w:fill="E7E6E6" w:themeFill="background2"/>
          </w:tcPr>
          <w:p w14:paraId="56E65A93">
            <w:pPr>
              <w:spacing w:after="0" w:line="240" w:lineRule="auto"/>
              <w:jc w:val="center"/>
              <w:rPr>
                <w:rFonts w:ascii="宋体" w:hAnsi="宋体" w:eastAsia="宋体"/>
                <w:b/>
                <w:bCs/>
                <w:sz w:val="24"/>
              </w:rPr>
            </w:pPr>
            <w:r>
              <w:rPr>
                <w:rFonts w:hint="eastAsia" w:ascii="宋体" w:hAnsi="宋体" w:eastAsia="宋体"/>
                <w:b/>
                <w:bCs/>
                <w:sz w:val="24"/>
              </w:rPr>
              <w:t>2040</w:t>
            </w:r>
          </w:p>
        </w:tc>
        <w:tc>
          <w:tcPr>
            <w:tcW w:w="1215" w:type="dxa"/>
            <w:shd w:val="clear" w:color="auto" w:fill="E7E6E6" w:themeFill="background2"/>
          </w:tcPr>
          <w:p w14:paraId="4196791C">
            <w:pPr>
              <w:spacing w:after="0" w:line="240" w:lineRule="auto"/>
              <w:jc w:val="center"/>
              <w:rPr>
                <w:rFonts w:ascii="宋体" w:hAnsi="宋体" w:eastAsia="宋体"/>
                <w:b/>
                <w:bCs/>
                <w:sz w:val="24"/>
              </w:rPr>
            </w:pPr>
            <w:r>
              <w:rPr>
                <w:rFonts w:hint="eastAsia" w:ascii="宋体" w:hAnsi="宋体" w:eastAsia="宋体"/>
                <w:b/>
                <w:bCs/>
                <w:sz w:val="24"/>
              </w:rPr>
              <w:t>2050</w:t>
            </w:r>
          </w:p>
        </w:tc>
        <w:tc>
          <w:tcPr>
            <w:tcW w:w="1215" w:type="dxa"/>
            <w:shd w:val="clear" w:color="auto" w:fill="E7E6E6" w:themeFill="background2"/>
          </w:tcPr>
          <w:p w14:paraId="3DBFC6B4">
            <w:pPr>
              <w:spacing w:after="0" w:line="240" w:lineRule="auto"/>
              <w:jc w:val="center"/>
              <w:rPr>
                <w:rFonts w:ascii="宋体" w:hAnsi="宋体" w:eastAsia="宋体"/>
                <w:b/>
                <w:bCs/>
                <w:sz w:val="24"/>
              </w:rPr>
            </w:pPr>
            <w:r>
              <w:rPr>
                <w:rFonts w:hint="eastAsia" w:ascii="宋体" w:hAnsi="宋体" w:eastAsia="宋体"/>
                <w:b/>
                <w:bCs/>
                <w:sz w:val="24"/>
              </w:rPr>
              <w:t>2060</w:t>
            </w:r>
          </w:p>
        </w:tc>
      </w:tr>
      <w:tr w14:paraId="3A56DC41">
        <w:tc>
          <w:tcPr>
            <w:tcW w:w="797" w:type="dxa"/>
            <w:vAlign w:val="center"/>
          </w:tcPr>
          <w:p w14:paraId="632B59E0">
            <w:pPr>
              <w:spacing w:after="0" w:line="240" w:lineRule="auto"/>
              <w:jc w:val="center"/>
              <w:rPr>
                <w:rFonts w:ascii="宋体" w:hAnsi="宋体" w:eastAsia="宋体"/>
                <w:sz w:val="24"/>
              </w:rPr>
            </w:pPr>
            <w:r>
              <w:rPr>
                <w:rFonts w:hint="eastAsia" w:ascii="宋体" w:hAnsi="宋体" w:eastAsia="宋体"/>
                <w:sz w:val="24"/>
              </w:rPr>
              <w:t>减排潜力</w:t>
            </w:r>
          </w:p>
        </w:tc>
        <w:tc>
          <w:tcPr>
            <w:tcW w:w="1500" w:type="dxa"/>
            <w:vAlign w:val="center"/>
          </w:tcPr>
          <w:p w14:paraId="07763DD8">
            <w:pPr>
              <w:spacing w:after="0" w:line="240" w:lineRule="auto"/>
              <w:jc w:val="center"/>
              <w:rPr>
                <w:rFonts w:ascii="宋体" w:hAnsi="宋体" w:eastAsia="宋体"/>
                <w:sz w:val="24"/>
              </w:rPr>
            </w:pPr>
            <w:r>
              <w:rPr>
                <w:rFonts w:hint="eastAsia" w:ascii="宋体" w:hAnsi="宋体" w:eastAsia="宋体"/>
                <w:sz w:val="24"/>
              </w:rPr>
              <w:t>0.001-0.17</w:t>
            </w:r>
          </w:p>
        </w:tc>
        <w:tc>
          <w:tcPr>
            <w:tcW w:w="1358" w:type="dxa"/>
            <w:vAlign w:val="center"/>
          </w:tcPr>
          <w:p w14:paraId="51DE4C6E">
            <w:pPr>
              <w:spacing w:after="0" w:line="240" w:lineRule="auto"/>
              <w:jc w:val="center"/>
              <w:rPr>
                <w:rFonts w:ascii="宋体" w:hAnsi="宋体" w:eastAsia="宋体"/>
                <w:sz w:val="24"/>
              </w:rPr>
            </w:pPr>
            <w:r>
              <w:rPr>
                <w:rFonts w:hint="eastAsia" w:ascii="宋体" w:hAnsi="宋体" w:eastAsia="宋体"/>
                <w:sz w:val="24"/>
              </w:rPr>
              <w:t>0.1-1.52</w:t>
            </w:r>
          </w:p>
        </w:tc>
        <w:tc>
          <w:tcPr>
            <w:tcW w:w="1215" w:type="dxa"/>
            <w:vAlign w:val="center"/>
          </w:tcPr>
          <w:p w14:paraId="04796210">
            <w:pPr>
              <w:spacing w:after="0" w:line="240" w:lineRule="auto"/>
              <w:jc w:val="center"/>
              <w:rPr>
                <w:rFonts w:ascii="宋体" w:hAnsi="宋体" w:eastAsia="宋体"/>
                <w:sz w:val="24"/>
              </w:rPr>
            </w:pPr>
            <w:r>
              <w:rPr>
                <w:rFonts w:hint="eastAsia" w:ascii="宋体" w:hAnsi="宋体" w:eastAsia="宋体"/>
                <w:sz w:val="24"/>
              </w:rPr>
              <w:t>0.2-0.8</w:t>
            </w:r>
          </w:p>
        </w:tc>
        <w:tc>
          <w:tcPr>
            <w:tcW w:w="1215" w:type="dxa"/>
            <w:vAlign w:val="center"/>
          </w:tcPr>
          <w:p w14:paraId="0CC0CF47">
            <w:pPr>
              <w:spacing w:after="0" w:line="240" w:lineRule="auto"/>
              <w:jc w:val="center"/>
              <w:rPr>
                <w:rFonts w:ascii="宋体" w:hAnsi="宋体" w:eastAsia="宋体"/>
                <w:sz w:val="24"/>
              </w:rPr>
            </w:pPr>
            <w:r>
              <w:rPr>
                <w:rFonts w:hint="eastAsia" w:ascii="宋体" w:hAnsi="宋体" w:eastAsia="宋体"/>
                <w:sz w:val="24"/>
              </w:rPr>
              <w:t>0.3-1.5</w:t>
            </w:r>
          </w:p>
        </w:tc>
        <w:tc>
          <w:tcPr>
            <w:tcW w:w="1215" w:type="dxa"/>
            <w:vAlign w:val="center"/>
          </w:tcPr>
          <w:p w14:paraId="5B2201B5">
            <w:pPr>
              <w:spacing w:after="0" w:line="240" w:lineRule="auto"/>
              <w:jc w:val="center"/>
              <w:rPr>
                <w:rFonts w:ascii="宋体" w:hAnsi="宋体" w:eastAsia="宋体"/>
                <w:sz w:val="24"/>
              </w:rPr>
            </w:pPr>
            <w:r>
              <w:rPr>
                <w:rFonts w:hint="eastAsia" w:ascii="宋体" w:hAnsi="宋体" w:eastAsia="宋体"/>
                <w:sz w:val="24"/>
              </w:rPr>
              <w:t>0.8-1.8</w:t>
            </w:r>
          </w:p>
        </w:tc>
        <w:tc>
          <w:tcPr>
            <w:tcW w:w="1215" w:type="dxa"/>
            <w:vAlign w:val="center"/>
          </w:tcPr>
          <w:p w14:paraId="06CFBDA5">
            <w:pPr>
              <w:spacing w:after="0" w:line="240" w:lineRule="auto"/>
              <w:jc w:val="center"/>
              <w:rPr>
                <w:rFonts w:ascii="宋体" w:hAnsi="宋体" w:eastAsia="宋体"/>
                <w:sz w:val="24"/>
              </w:rPr>
            </w:pPr>
            <w:r>
              <w:rPr>
                <w:rFonts w:hint="eastAsia" w:ascii="宋体" w:hAnsi="宋体" w:eastAsia="宋体"/>
                <w:sz w:val="24"/>
              </w:rPr>
              <w:t>1.9-2.1</w:t>
            </w:r>
          </w:p>
        </w:tc>
      </w:tr>
    </w:tbl>
    <w:p w14:paraId="4408A472"/>
    <w:p w14:paraId="4055676D">
      <w:pPr>
        <w:spacing w:after="0" w:line="560" w:lineRule="exact"/>
        <w:ind w:firstLine="643" w:firstLineChars="200"/>
        <w:jc w:val="both"/>
        <w:rPr>
          <w:rFonts w:hint="eastAsia"/>
          <w:lang w:eastAsia="zh-CN"/>
        </w:rPr>
      </w:pPr>
      <w:r>
        <w:rPr>
          <w:rFonts w:hint="eastAsia" w:ascii="仿宋-GB2312" w:hAnsi="仿宋" w:eastAsia="仿宋-GB2312" w:cs="仿宋"/>
          <w:b/>
          <w:bCs/>
          <w:sz w:val="32"/>
          <w:szCs w:val="32"/>
          <w:lang w:eastAsia="zh-CN"/>
        </w:rPr>
        <w:t>（1）国际研究参考。</w:t>
      </w:r>
    </w:p>
    <w:p w14:paraId="276D95B8">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国际能源署（IEA）在净零排放情景中提出，为实现全球升温控制在1.5℃以内的目标，水泥碳排放强度需在2022年至2030年间由约0.58tCO₂/t熟料下降至0.45tCO₂/t熟料，降幅约22.41%</w:t>
      </w:r>
      <w:r>
        <w:rPr>
          <w:rStyle w:val="9"/>
          <w:rFonts w:hint="eastAsia" w:ascii="仿宋_GB2312" w:hAnsi="仿宋_GB2312" w:eastAsia="仿宋_GB2312" w:cs="仿宋_GB2312"/>
          <w:sz w:val="32"/>
          <w:szCs w:val="32"/>
        </w:rPr>
        <w:footnoteReference w:id="1"/>
      </w:r>
      <w:r>
        <w:rPr>
          <w:rFonts w:hint="eastAsia" w:ascii="仿宋_GB2312" w:hAnsi="仿宋_GB2312" w:eastAsia="仿宋_GB2312" w:cs="仿宋_GB2312"/>
          <w:sz w:val="32"/>
          <w:szCs w:val="32"/>
          <w:lang w:eastAsia="zh-CN"/>
        </w:rPr>
        <w:t>。</w:t>
      </w:r>
    </w:p>
    <w:p w14:paraId="32157482">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对应的年均复合下降率为：</w:t>
      </w:r>
    </w:p>
    <w:p w14:paraId="7C236FB2">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bidi="ar"/>
        </w:rPr>
        <w:t>r=1−(1−22.41%)</w:t>
      </w:r>
      <w:r>
        <w:rPr>
          <w:rFonts w:hint="eastAsia" w:ascii="仿宋_GB2312" w:hAnsi="仿宋_GB2312" w:eastAsia="仿宋_GB2312" w:cs="仿宋_GB2312"/>
          <w:sz w:val="32"/>
          <w:szCs w:val="32"/>
          <w:vertAlign w:val="superscript"/>
          <w:lang w:eastAsia="zh-CN" w:bidi="ar"/>
        </w:rPr>
        <w:t>1/8</w:t>
      </w:r>
      <w:r>
        <w:rPr>
          <w:rFonts w:hint="eastAsia" w:ascii="仿宋_GB2312" w:hAnsi="仿宋_GB2312" w:eastAsia="仿宋_GB2312" w:cs="仿宋_GB2312"/>
          <w:sz w:val="32"/>
          <w:szCs w:val="32"/>
          <w:lang w:eastAsia="zh-CN" w:bidi="ar"/>
        </w:rPr>
        <w:t>≈3.1%</w:t>
      </w:r>
    </w:p>
    <w:p w14:paraId="76810303">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以2024年为基准期，折算2024-2030六年间的等效下降比例为：</w:t>
      </w:r>
    </w:p>
    <w:p w14:paraId="4E5D73F7">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bidi="ar"/>
        </w:rPr>
        <w:t>1−(1−r)</w:t>
      </w:r>
      <w:r>
        <w:rPr>
          <w:rFonts w:hint="eastAsia" w:ascii="仿宋_GB2312" w:hAnsi="仿宋_GB2312" w:eastAsia="仿宋_GB2312" w:cs="仿宋_GB2312"/>
          <w:sz w:val="32"/>
          <w:szCs w:val="32"/>
          <w:vertAlign w:val="superscript"/>
          <w:lang w:eastAsia="zh-CN" w:bidi="ar"/>
        </w:rPr>
        <w:t>6</w:t>
      </w:r>
      <w:r>
        <w:rPr>
          <w:rFonts w:hint="eastAsia" w:ascii="仿宋_GB2312" w:hAnsi="仿宋_GB2312" w:eastAsia="仿宋_GB2312" w:cs="仿宋_GB2312"/>
          <w:sz w:val="32"/>
          <w:szCs w:val="32"/>
          <w:lang w:eastAsia="zh-CN" w:bidi="ar"/>
        </w:rPr>
        <w:t>≈17.3%</w:t>
      </w:r>
    </w:p>
    <w:p w14:paraId="72369787">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因此，在本规划的基准期（2024-2030年）内，IEA NZE情景对应的水泥熟料碳强度下降参考值约为17.3%。</w:t>
      </w:r>
    </w:p>
    <w:p w14:paraId="33601D37">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IEA同步指出，水泥行业NZE路径的核心技术包括替代原料（低熟料系数）、替代燃料掺烧、电气化生产及CCUS。为在2050年前实现净零排放，需要大规模部署CCUS技术。到2050年，通过CCUS每年可以减排约13.7亿吨CO₂，占水泥产业直接排放量的76%。使用替代燃料来取代部分或全部煤，是减少水泥生产过程中CO₂排放的一种解决方案，加上提高水泥生产效率和使用脱碳原材料，到2050年可能实现约4.1亿吨/年的CO₂减排量。另一种减少CO₂排放的技术是用其他材料代替熟料，如矿渣、石灰石粉末、粉煤灰、硅石粉尘和天然火山灰。目前全球平均熟料/粘合剂比例为0.63，预计到2050年将降至0.52-0.60。到2050年，降低水泥熟料含量和使用辅助胶凝材料可能帮助水泥行业减排约3.5亿吨CO₂/年。</w:t>
      </w:r>
    </w:p>
    <w:p w14:paraId="094D9489">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全球水泥和混凝土协会（GCCA）于2021年发布《Concrete Future：GCCA 2050 Cement and Concrete Industry Roadmap for Net Zero Concrete》。制定了到2030年将二氧化碳排放量进一步减少25%的目标。为了减少对传统燃料的依赖，GCCA预计，到2030及2050年，替代燃料利用率将从现时的6%提升至22%、43%。CCUS对减排的贡献占比在2030年约为10%，2050年须达到约36%，是实现净零最关键的技术。</w:t>
      </w:r>
    </w:p>
    <w:p w14:paraId="0047FF2D">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同时，根据IPCC于2022年4月发布的第六次评估报告（AR6）第三工作组（WGIII）报告《气候变化2022：减缓气候变化》有关建筑部分的研究，为实现2050年净零排放目标，对于发展中国家来说，若以2019年为基准，采用合理适度的人均建造面积，在建筑材料生产阶段可实现的碳减排量达58%</w:t>
      </w:r>
      <w:r>
        <w:rPr>
          <w:rStyle w:val="9"/>
          <w:rFonts w:hint="eastAsia" w:ascii="仿宋_GB2312" w:hAnsi="仿宋_GB2312" w:eastAsia="仿宋_GB2312" w:cs="仿宋_GB2312"/>
          <w:sz w:val="32"/>
          <w:szCs w:val="32"/>
        </w:rPr>
        <w:footnoteReference w:id="2"/>
      </w:r>
      <w:r>
        <w:rPr>
          <w:rFonts w:hint="eastAsia" w:ascii="仿宋_GB2312" w:hAnsi="仿宋_GB2312" w:eastAsia="仿宋_GB2312" w:cs="仿宋_GB2312"/>
          <w:sz w:val="32"/>
          <w:szCs w:val="32"/>
          <w:lang w:eastAsia="zh-CN"/>
        </w:rPr>
        <w:t>。采用年均复合下降率法折算得到：从2024年到2030年，建筑材料生产环节（含水泥等）的理论减排潜力约为13.4%。</w:t>
      </w:r>
    </w:p>
    <w:p w14:paraId="72880E72">
      <w:pPr>
        <w:widowControl w:val="0"/>
        <w:spacing w:after="0" w:line="560" w:lineRule="exact"/>
        <w:ind w:firstLine="643" w:firstLineChars="200"/>
        <w:jc w:val="both"/>
        <w:rPr>
          <w:rFonts w:ascii="仿宋-GB2312" w:hAnsi="仿宋" w:eastAsia="仿宋-GB2312" w:cs="仿宋"/>
          <w:b/>
          <w:bCs/>
          <w:kern w:val="2"/>
          <w:sz w:val="32"/>
          <w:szCs w:val="32"/>
          <w:lang w:eastAsia="zh-CN"/>
        </w:rPr>
      </w:pPr>
      <w:r>
        <w:rPr>
          <w:rFonts w:hint="eastAsia" w:ascii="仿宋-GB2312" w:hAnsi="仿宋" w:eastAsia="仿宋-GB2312" w:cs="仿宋"/>
          <w:b/>
          <w:bCs/>
          <w:kern w:val="2"/>
          <w:sz w:val="32"/>
          <w:szCs w:val="32"/>
          <w:lang w:eastAsia="zh-CN"/>
        </w:rPr>
        <w:t>（2）国内政策导向与行业研究情景。</w:t>
      </w:r>
    </w:p>
    <w:p w14:paraId="3DB51A02">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中国建筑材料科学研究总院于2023年发布了《中国水泥行业碳中和路径研究》。该研究系统梳理并研究水泥行业能源消耗、碳排放现状及趋势、关键降碳技术等，同时采用多因素拟合分析模型，预测水泥熟料消费量，测算结果显示2060年行业碳排放量在0.29亿吨左右（考虑CCUS贡献），可以实现近零排放。同时，水泥和熟料的碳排放强度将分别下降到50kg/t和68kg/t。实现碳中和的主要技术路径为需求量降低减碳、低碳水泥减碳、能效提升减碳、能源替代减碳、CCUS减碳等。研究测算各技术路径最终减碳贡献度分别为59.9%，3.1%，9.3%，9.4%，18.3%。其中，到2030年预计降碳4亿吨，主要贡献来源于需求量降低减碳，仅有约17%左右的减碳贡献来源于其他技术路径。根据2030年产量较2020年下降24.35%（从15.77亿吨到11.93亿吨）计算，2030年水泥熟料碳排放强度较2020年将下降约6.6%。</w:t>
      </w:r>
    </w:p>
    <w:p w14:paraId="67B38E4C">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折算到2024-2030六年期，则累计下降比例为：</w:t>
      </w:r>
    </w:p>
    <w:p w14:paraId="6E66F610">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1−(1−6.6%)^(6/10)≈4.1%</w:t>
      </w:r>
    </w:p>
    <w:p w14:paraId="72E2F299">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此外，《水泥行业节能降碳专项行动计划》提出，到2025年底，熟料产能控制在18亿吨以内，熟料单位产品综合能耗比2020年降低3.7%。保守情景下假设行业2025年后没有大规模低碳技术应用，则2020-2025期间能耗以年均复合率r下降，且该年均率在2025年之后保持一致：</w:t>
      </w:r>
    </w:p>
    <w:p w14:paraId="0781C103">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r=1−(1-3.7%)1/5≈ 0.7512%</w:t>
      </w:r>
    </w:p>
    <w:p w14:paraId="17D63316">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计算2024→2030（6年）的累计下降：</w:t>
      </w:r>
    </w:p>
    <w:p w14:paraId="0F727FCD">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1−(1−r)6≈4.42%</w:t>
      </w:r>
    </w:p>
    <w:p w14:paraId="369DA6C7">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与中国建筑材料科学研究总院预测的数值（4.1%）较为一致。</w:t>
      </w:r>
    </w:p>
    <w:p w14:paraId="5913E8D3">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此外根据北京绿金院IFS-CGE水泥行业模型的2度情景测算，我国水泥产量总体呈现长期持续降低趋势。其中，历史期数据显示，水泥总产量已从2020年的23.9亿吨下降至 2024年的18.3亿吨，年均下降为6.5%；而在短期内，总产量将持续下降至2030年的13.4亿吨，年均下降5.1%；在中期内，总产量将继续下降至2035年的12.9亿吨，年均下降3.1%；在长期内，总产量将下降至2060年的6.5亿吨，年均下降2.8%。水泥生产的单位碳排放强度将从2024年的 0.59tCO₂/t下降至2030年的0.53tCO₂/t、2035年的0.45tCO₂/t和2060年的0.09tCO₂/t。对于水泥行业碳强度下降的预测为2030年较2024年下降9.9%。</w:t>
      </w:r>
    </w:p>
    <w:p w14:paraId="6BD7B9E5">
      <w:pPr>
        <w:widowControl w:val="0"/>
        <w:spacing w:after="0" w:line="560" w:lineRule="exact"/>
        <w:ind w:firstLine="643" w:firstLineChars="200"/>
        <w:jc w:val="both"/>
        <w:rPr>
          <w:rFonts w:ascii="仿宋-GB2312" w:hAnsi="仿宋" w:eastAsia="仿宋-GB2312" w:cs="仿宋"/>
          <w:b/>
          <w:bCs/>
          <w:kern w:val="2"/>
          <w:sz w:val="32"/>
          <w:szCs w:val="32"/>
          <w:lang w:eastAsia="zh-CN"/>
        </w:rPr>
      </w:pPr>
      <w:r>
        <w:rPr>
          <w:rFonts w:hint="eastAsia" w:ascii="仿宋-GB2312" w:hAnsi="仿宋" w:eastAsia="仿宋-GB2312" w:cs="仿宋"/>
          <w:b/>
          <w:bCs/>
          <w:kern w:val="2"/>
          <w:sz w:val="32"/>
          <w:szCs w:val="32"/>
          <w:lang w:eastAsia="zh-CN"/>
        </w:rPr>
        <w:t>（3）情景假设及结果。</w:t>
      </w:r>
    </w:p>
    <w:p w14:paraId="4E037ED3">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本规划构建了水泥行业碳强度基准路径模型。以2024年为统一基准年（水泥产量18.3亿吨，吨水泥碳排放强度0.59tCO₂/t，当年CO₂总排放约10.78亿吨），以2060年前碳中和为导向，设置积极、适度、保守三种情景。</w:t>
      </w:r>
    </w:p>
    <w:p w14:paraId="77254F92">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本模型采用“自上而下”宏观锚定与“自下而上”技术路径推演相结合的方法论，形成统一的碳强度演化路径。自上而下的宏观层面锚定GDP增速趋势（2024年4.9%→2030年3.5%）、人口与城镇化轨迹（影响水泥需求总量）、全国碳预算（约束行业碳排放总量上限</w:t>
      </w:r>
      <w:r>
        <w:rPr>
          <w:rFonts w:hint="eastAsia" w:ascii="仿宋_GB2312" w:hAnsi="仿宋_GB2312" w:eastAsia="仿宋_GB2312" w:cs="仿宋_GB2312"/>
          <w:sz w:val="32"/>
          <w:szCs w:val="32"/>
          <w:lang w:val="en-US" w:eastAsia="zh-CN"/>
        </w:rPr>
        <w:t>和下限，分别可以对应不同情景的碳排放量</w:t>
      </w:r>
      <w:r>
        <w:rPr>
          <w:rFonts w:hint="eastAsia" w:ascii="仿宋_GB2312" w:hAnsi="仿宋_GB2312" w:eastAsia="仿宋_GB2312" w:cs="仿宋_GB2312"/>
          <w:sz w:val="32"/>
          <w:szCs w:val="32"/>
          <w:lang w:eastAsia="zh-CN"/>
        </w:rPr>
        <w:t>），三类情景在上述宏观假设上保持一致。</w:t>
      </w:r>
    </w:p>
    <w:p w14:paraId="6D041158">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行业预测的水泥总产量</w:t>
      </w:r>
      <w:r>
        <w:rPr>
          <w:rFonts w:hint="eastAsia" w:ascii="仿宋_GB2312" w:hAnsi="仿宋_GB2312" w:eastAsia="仿宋_GB2312" w:cs="仿宋_GB2312"/>
          <w:sz w:val="32"/>
          <w:szCs w:val="32"/>
          <w:lang w:val="en-US" w:eastAsia="zh-CN"/>
        </w:rPr>
        <w:t>在三个情景下应该不一致，这样产量下降带来的碳排放下降的比例也不一样</w:t>
      </w:r>
      <w:r>
        <w:rPr>
          <w:rFonts w:hint="eastAsia" w:ascii="仿宋_GB2312" w:hAnsi="仿宋_GB2312" w:eastAsia="仿宋_GB2312" w:cs="仿宋_GB2312"/>
          <w:sz w:val="32"/>
          <w:szCs w:val="32"/>
          <w:lang w:eastAsia="zh-CN"/>
        </w:rPr>
        <w:t>。</w:t>
      </w:r>
    </w:p>
    <w:p w14:paraId="6D6A9BF5">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自下而上的技术层面，则在统一宏观约束下，基于减排技术的差异化渗透节奏，构建逐年碳强度核算路径。减排技术分别为：低碳水泥、替代燃料（TSR）、能效提升、电力清洁化（绿电）、碳捕集（CCUS）。模型的降碳核算逻辑可概括为以下加和公式：</w:t>
      </w:r>
    </w:p>
    <w:p w14:paraId="2DEDF307">
      <w:pPr>
        <w:pStyle w:val="11"/>
        <w:spacing w:line="560" w:lineRule="exact"/>
        <w:ind w:firstLine="64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吨水泥碳排放强度降幅（tCO₂/t）= 能效提升贡献 + 低碳水泥贡献 + 替代燃料贡献 + 绿色能源贡献 + CCUS捕集贡献</w:t>
      </w:r>
    </w:p>
    <w:p w14:paraId="627EA79D">
      <w:pPr>
        <w:pStyle w:val="11"/>
        <w:spacing w:line="560" w:lineRule="exact"/>
        <w:ind w:firstLine="643"/>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eastAsia="zh-CN"/>
        </w:rPr>
        <w:t>保守情景。</w:t>
      </w:r>
      <w:r>
        <w:rPr>
          <w:rFonts w:hint="eastAsia" w:ascii="仿宋_GB2312" w:hAnsi="仿宋_GB2312" w:eastAsia="仿宋_GB2312" w:cs="仿宋_GB2312"/>
          <w:sz w:val="32"/>
          <w:szCs w:val="32"/>
          <w:lang w:eastAsia="zh-CN"/>
        </w:rPr>
        <w:t>保守情景以中国建筑材料科学研究总院（CBMA）《中国水泥行业碳中和路径研究》（2023）为主要依据，在统一宏观环境、水泥总产量与碳</w:t>
      </w:r>
      <w:bookmarkStart w:id="1" w:name="_GoBack"/>
      <w:bookmarkEnd w:id="1"/>
      <w:r>
        <w:rPr>
          <w:rFonts w:hint="eastAsia" w:ascii="仿宋_GB2312" w:hAnsi="仿宋_GB2312" w:eastAsia="仿宋_GB2312" w:cs="仿宋_GB2312"/>
          <w:sz w:val="32"/>
          <w:szCs w:val="32"/>
          <w:lang w:eastAsia="zh-CN"/>
        </w:rPr>
        <w:t>预算约束下，延续当前政策惯性与行业发展节奏。该情景对工艺与燃料结构转型采取平稳推进思路，低碳水泥熟料应用比例在2030年约为5%，到2040年约为15%。，CCUS等低碳技术受成熟度与经济性限制，2035年前仅开展小规模示范应用，2030年前捕集量不超过800万吨/年。</w:t>
      </w:r>
    </w:p>
    <w:p w14:paraId="63AA45E2">
      <w:pPr>
        <w:pStyle w:val="11"/>
        <w:spacing w:line="560" w:lineRule="exact"/>
        <w:ind w:firstLine="643"/>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eastAsia="zh-CN"/>
        </w:rPr>
        <w:t>适度情景。</w:t>
      </w:r>
      <w:r>
        <w:rPr>
          <w:rFonts w:hint="eastAsia" w:ascii="仿宋_GB2312" w:hAnsi="仿宋_GB2312" w:eastAsia="仿宋_GB2312" w:cs="仿宋_GB2312"/>
          <w:sz w:val="32"/>
          <w:szCs w:val="32"/>
          <w:lang w:eastAsia="zh-CN"/>
        </w:rPr>
        <w:t>以北京绿金院IFS-CGE模型2度情景为核心参照标准，并采用行业实际运行数据对水泥产量、能耗等关键指标进行校准，兼顾气候目标要求与现实可行性。在统一宏观约束下，该情景以2度温控为目标推进燃料结构优化与工艺改进，稳步提升替代燃料掺烧比例与能效水平，碳排放强度持续改善。CCUS、低碳熟料等技术遵循行业正常商业化节奏推进，CCUS 2030年前捕集量不超过1000万吨/年，2040年前不超过4000万吨/年。低碳水泥熟料应用比例在2030年约为8%，到2040年约为20%。</w:t>
      </w:r>
    </w:p>
    <w:p w14:paraId="7CAA8F63">
      <w:pPr>
        <w:pStyle w:val="11"/>
        <w:spacing w:line="560" w:lineRule="exact"/>
        <w:ind w:firstLine="643"/>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eastAsia="zh-CN"/>
        </w:rPr>
        <w:t>积极情景。</w:t>
      </w:r>
      <w:r>
        <w:rPr>
          <w:rFonts w:hint="eastAsia" w:ascii="仿宋_GB2312" w:hAnsi="仿宋_GB2312" w:eastAsia="仿宋_GB2312" w:cs="仿宋_GB2312"/>
          <w:sz w:val="32"/>
          <w:szCs w:val="32"/>
          <w:lang w:eastAsia="zh-CN"/>
        </w:rPr>
        <w:t>以IEA NZE情景为主要参照，在统一宏观经济假设、水泥总产量与碳预算约束下，实施更强力度的深度脱碳措施。该情景显著加快替代燃料推广、低碳熟料应用与CCUS部署的节奏，碳排放强度快速降低。替代燃料利用率到2040年达到25%。CCUS布局和商业化速度显著加快，2035年捕集量能达到3800万吨/年。</w:t>
      </w:r>
    </w:p>
    <w:p w14:paraId="2AF75CE8"/>
    <w:sectPr>
      <w:headerReference r:id="rId5" w:type="default"/>
      <w:type w:val="continuous"/>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楷体_GB2312">
    <w:altName w:val="汉仪楷体简"/>
    <w:panose1 w:val="02010609030101010101"/>
    <w:charset w:val="86"/>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仿宋-GB2312">
    <w:altName w:val="方正仿宋_GBK"/>
    <w:panose1 w:val="00000000000000000000"/>
    <w:charset w:val="86"/>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before="0" w:after="0" w:line="278" w:lineRule="auto"/>
      </w:pPr>
      <w:r>
        <w:separator/>
      </w:r>
    </w:p>
  </w:footnote>
  <w:footnote w:type="continuationSeparator" w:id="7">
    <w:p>
      <w:pPr>
        <w:spacing w:before="0" w:after="0" w:line="278" w:lineRule="auto"/>
      </w:pPr>
      <w:r>
        <w:continuationSeparator/>
      </w:r>
    </w:p>
  </w:footnote>
  <w:footnote w:id="0">
    <w:p w14:paraId="349050EF">
      <w:pPr>
        <w:pStyle w:val="4"/>
      </w:pPr>
      <w:r>
        <w:rPr>
          <w:rStyle w:val="9"/>
        </w:rPr>
        <w:footnoteRef/>
      </w:r>
      <w:r>
        <w:t xml:space="preserve"> </w:t>
      </w:r>
      <w:r>
        <w:rPr>
          <w:rFonts w:hint="eastAsia"/>
        </w:rPr>
        <w:t>10万吨级二氧化碳捕集项目的捕集能力仅为水泥项目排放量的约5%。</w:t>
      </w:r>
    </w:p>
  </w:footnote>
  <w:footnote w:id="1">
    <w:p w14:paraId="64D0E84E">
      <w:pPr>
        <w:pStyle w:val="4"/>
        <w:rPr>
          <w:rFonts w:hint="eastAsia" w:ascii="仿宋_GB2312" w:hAnsi="仿宋_GB2312" w:eastAsia="仿宋_GB2312" w:cs="仿宋_GB2312"/>
          <w:lang w:eastAsia="zh-CN"/>
        </w:rPr>
      </w:pPr>
      <w:r>
        <w:rPr>
          <w:rStyle w:val="9"/>
          <w:rFonts w:hint="eastAsia" w:ascii="仿宋_GB2312" w:hAnsi="仿宋_GB2312" w:eastAsia="仿宋_GB2312" w:cs="仿宋_GB2312"/>
        </w:rPr>
        <w:footnoteRef/>
      </w:r>
      <w:r>
        <w:rPr>
          <w:rFonts w:hint="eastAsia" w:ascii="仿宋_GB2312" w:hAnsi="仿宋_GB2312" w:eastAsia="仿宋_GB2312" w:cs="仿宋_GB2312"/>
          <w:lang w:eastAsia="zh-CN"/>
        </w:rPr>
        <w:t xml:space="preserve"> </w:t>
      </w:r>
      <w:r>
        <w:rPr>
          <w:rFonts w:hint="eastAsia" w:ascii="仿宋_GB2312" w:hAnsi="仿宋_GB2312" w:eastAsia="仿宋_GB2312" w:cs="仿宋_GB2312"/>
          <w:szCs w:val="18"/>
          <w:lang w:eastAsia="zh-CN"/>
        </w:rPr>
        <w:t>IEA. 净零路线图:实现1.5℃目标的全球途径. 2023-12.</w:t>
      </w:r>
    </w:p>
  </w:footnote>
  <w:footnote w:id="2">
    <w:p w14:paraId="3D6CDCD1">
      <w:pPr>
        <w:pStyle w:val="4"/>
        <w:rPr>
          <w:rFonts w:hint="eastAsia" w:ascii="仿宋_GB2312" w:hAnsi="仿宋_GB2312" w:eastAsia="仿宋_GB2312" w:cs="仿宋_GB2312"/>
          <w:szCs w:val="18"/>
          <w:lang w:eastAsia="zh-CN"/>
        </w:rPr>
      </w:pPr>
      <w:r>
        <w:rPr>
          <w:rStyle w:val="9"/>
          <w:rFonts w:hint="eastAsia" w:ascii="仿宋_GB2312" w:hAnsi="仿宋_GB2312" w:eastAsia="仿宋_GB2312" w:cs="仿宋_GB2312"/>
        </w:rPr>
        <w:footnoteRef/>
      </w:r>
      <w:r>
        <w:rPr>
          <w:rFonts w:hint="eastAsia" w:ascii="仿宋_GB2312" w:hAnsi="仿宋_GB2312" w:eastAsia="仿宋_GB2312" w:cs="仿宋_GB2312"/>
          <w:lang w:eastAsia="zh-CN"/>
        </w:rPr>
        <w:t xml:space="preserve"> </w:t>
      </w:r>
      <w:r>
        <w:rPr>
          <w:rFonts w:hint="eastAsia" w:ascii="仿宋_GB2312" w:hAnsi="仿宋_GB2312" w:eastAsia="仿宋_GB2312" w:cs="仿宋_GB2312"/>
          <w:szCs w:val="18"/>
          <w:lang w:eastAsia="zh-CN"/>
        </w:rPr>
        <w:t>白泉, 胡姗, 谷立静. 对IPCCAR6报告建筑章节的介绍和解读[J]. 气候变化研究进展, 2022, 18 (5): 557-566.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86385">
    <w:pPr>
      <w:pBdr>
        <w:bottom w:val="single" w:color="auto" w:sz="4" w:space="1"/>
      </w:pBdr>
      <w:wordWrap w:val="0"/>
      <w:adjustRightInd w:val="0"/>
      <w:snapToGrid w:val="0"/>
      <w:spacing w:after="0" w:line="440" w:lineRule="exact"/>
      <w:jc w:val="right"/>
      <w:rPr>
        <w:rFonts w:ascii="宋体" w:hAnsi="宋体" w:eastAsia="宋体" w:cs="Times New Roman"/>
        <w:sz w:val="21"/>
        <w:szCs w:val="21"/>
        <w14:ligatures w14:val="none"/>
      </w:rPr>
    </w:pPr>
    <w:r>
      <w:rPr>
        <w:rFonts w:hint="eastAsia" w:ascii="宋体" w:hAnsi="宋体" w:eastAsia="宋体" w:cs="Times New Roman"/>
        <w:sz w:val="21"/>
        <w:szCs w:val="21"/>
        <w14:ligatures w14:val="none"/>
      </w:rPr>
      <w:t>第四章 “双碳”目标下水泥行业投融资分析</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77D4EB"/>
    <w:rsid w:val="1FEBCE6C"/>
    <w:rsid w:val="88EFE4C2"/>
    <w:rsid w:val="EEFFF09F"/>
    <w:rsid w:val="F9D6246A"/>
    <w:rsid w:val="FF77D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after="120"/>
    </w:pPr>
  </w:style>
  <w:style w:type="paragraph" w:styleId="4">
    <w:name w:val="footnote text"/>
    <w:basedOn w:val="1"/>
    <w:semiHidden/>
    <w:unhideWhenUsed/>
    <w:qFormat/>
    <w:uiPriority w:val="99"/>
    <w:pPr>
      <w:snapToGrid w:val="0"/>
    </w:pPr>
    <w:rPr>
      <w:sz w:val="18"/>
      <w:szCs w:val="18"/>
    </w:rPr>
  </w:style>
  <w:style w:type="table" w:styleId="6">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iPriority w:val="0"/>
    <w:rPr>
      <w:color w:val="0000FF"/>
      <w:u w:val="single"/>
    </w:rPr>
  </w:style>
  <w:style w:type="character" w:styleId="9">
    <w:name w:val="footnote reference"/>
    <w:basedOn w:val="7"/>
    <w:semiHidden/>
    <w:unhideWhenUsed/>
    <w:qFormat/>
    <w:uiPriority w:val="99"/>
    <w:rPr>
      <w:vertAlign w:val="superscript"/>
    </w:rPr>
  </w:style>
  <w:style w:type="paragraph" w:customStyle="1" w:styleId="10">
    <w:name w:val="大报告一级标题"/>
    <w:basedOn w:val="1"/>
    <w:qFormat/>
    <w:uiPriority w:val="0"/>
    <w:pPr>
      <w:spacing w:after="0" w:line="360" w:lineRule="auto"/>
      <w:ind w:firstLine="640" w:firstLineChars="200"/>
      <w:jc w:val="both"/>
      <w:outlineLvl w:val="1"/>
    </w:pPr>
    <w:rPr>
      <w:rFonts w:ascii="黑体" w:hAnsi="黑体" w:eastAsia="黑体"/>
      <w:sz w:val="32"/>
      <w:szCs w:val="32"/>
    </w:rPr>
  </w:style>
  <w:style w:type="paragraph" w:customStyle="1" w:styleId="11">
    <w:name w:val="大报告正文"/>
    <w:basedOn w:val="1"/>
    <w:qFormat/>
    <w:uiPriority w:val="0"/>
    <w:pPr>
      <w:spacing w:after="0" w:line="360" w:lineRule="auto"/>
      <w:ind w:firstLine="560" w:firstLineChars="200"/>
      <w:jc w:val="both"/>
    </w:pPr>
    <w:rPr>
      <w:rFonts w:ascii="Times New Roman" w:hAnsi="Times New Roman" w:eastAsia="宋体"/>
      <w:sz w:val="28"/>
      <w:szCs w:val="28"/>
    </w:rPr>
  </w:style>
  <w:style w:type="paragraph" w:customStyle="1" w:styleId="12">
    <w:name w:val="大报告二级标题"/>
    <w:basedOn w:val="1"/>
    <w:next w:val="1"/>
    <w:qFormat/>
    <w:uiPriority w:val="0"/>
    <w:pPr>
      <w:spacing w:after="0" w:line="360" w:lineRule="auto"/>
      <w:ind w:firstLine="600" w:firstLineChars="200"/>
      <w:jc w:val="both"/>
      <w:outlineLvl w:val="2"/>
    </w:pPr>
    <w:rPr>
      <w:rFonts w:ascii="黑体" w:hAnsi="黑体" w:eastAsia="黑体"/>
      <w:sz w:val="30"/>
      <w:szCs w:val="30"/>
    </w:rPr>
  </w:style>
  <w:style w:type="paragraph" w:customStyle="1" w:styleId="13">
    <w:name w:val="大报告表标题"/>
    <w:basedOn w:val="14"/>
    <w:qFormat/>
    <w:uiPriority w:val="0"/>
  </w:style>
  <w:style w:type="paragraph" w:customStyle="1" w:styleId="14">
    <w:name w:val="大报告图片标题"/>
    <w:basedOn w:val="1"/>
    <w:qFormat/>
    <w:uiPriority w:val="0"/>
    <w:pPr>
      <w:spacing w:after="0" w:line="360" w:lineRule="auto"/>
      <w:jc w:val="center"/>
      <w:outlineLvl w:val="3"/>
    </w:pPr>
    <w:rPr>
      <w:rFonts w:ascii="黑体" w:hAnsi="黑体" w:eastAsia="黑体"/>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TotalTime>
  <ScaleCrop>false</ScaleCrop>
  <LinksUpToDate>false</LinksUpToDate>
  <CharactersWithSpaces>0</CharactersWithSpaces>
  <Application>WPS Office_6.13.1.8913_F1E327BC-269C-435d-A152-05C5408002CA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2026-04-02T23:21:00Z</dcterms:created>
  <dc:creator>徐心莹</dc:creator>
  <cp:lastModifiedBy>Vic</cp:lastModifiedBy>
  <dcterms:modified xsi:type="dcterms:W3CDTF">2026-05-24T22:38:54Z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43AFF2F77399795A8FC7CC6902E2EFB6_41</vt:lpwstr>
  </property>
</Properties>
</file>