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before="160" w:after="80"/>
      </w:pPr>
      <w:r>
        <w:rPr>
          <w:rFonts w:ascii="Calibri" w:hAnsi="Calibri"/>
          <w:b/>
          <w:color w:val="1F252D"/>
          <w:sz w:val="48"/>
        </w:rPr>
        <w:t>Prediction Market Volatility Outputs Report</w:t>
      </w:r>
    </w:p>
    <w:p>
      <w:pPr>
        <w:spacing w:after="360"/>
      </w:pPr>
      <w:r>
        <w:rPr>
          <w:rFonts w:ascii="Calibri" w:hAnsi="Calibri"/>
          <w:color w:val="606E80"/>
          <w:sz w:val="28"/>
        </w:rPr>
        <w:t>Polymarket category-volatility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/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Research question</w:t>
            </w:r>
          </w:p>
        </w:tc>
        <w:tc>
          <w:tcPr>
            <w:tcW w:type="dxa" w:w="75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Can market category predict future volatility after controls?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Generated</w:t>
            </w:r>
          </w:p>
        </w:tc>
        <w:tc>
          <w:tcPr>
            <w:tcW w:type="dxa" w:w="75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2026-05-30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Markets</w:t>
            </w:r>
          </w:p>
        </w:tc>
        <w:tc>
          <w:tcPr>
            <w:tcW w:type="dxa" w:w="75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160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Training rows</w:t>
            </w:r>
          </w:p>
        </w:tc>
        <w:tc>
          <w:tcPr>
            <w:tcW w:type="dxa" w:w="75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40,678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Date span</w:t>
            </w:r>
          </w:p>
        </w:tc>
        <w:tc>
          <w:tcPr>
            <w:tcW w:type="dxa" w:w="75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2025-05-10 to 2026-05-30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Reference category</w:t>
            </w:r>
          </w:p>
        </w:tc>
        <w:tc>
          <w:tcPr>
            <w:tcW w:type="dxa" w:w="75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US Elections</w:t>
            </w:r>
          </w:p>
        </w:tc>
      </w:tr>
    </w:tbl>
    <w:p>
      <w:pPr>
        <w:spacing w:before="0" w:after="200" w:line="264" w:lineRule="auto"/>
        <w:jc w:val="left"/>
      </w:pPr>
      <w:r>
        <w:rPr>
          <w:rFonts w:ascii="Calibri" w:hAnsi="Calibri"/>
          <w:color w:val="1F252D"/>
          <w:sz w:val="22"/>
        </w:rPr>
        <w:t>This document consolidates the current project outputs into one report: data coverage, category rankings, model metrics, coefficient tables, feature importances, high-risk markets, and the saved artifacts consumed by the notebook and Streamlit dashboard.</w:t>
      </w:r>
    </w:p>
    <w:p>
      <w:pPr>
        <w:pStyle w:val="Heading1"/>
        <w:keepNext/>
        <w:spacing w:before="320" w:after="160"/>
        <w:jc w:val="left"/>
      </w:pPr>
      <w:r>
        <w:rPr>
          <w:rFonts w:ascii="Calibri" w:hAnsi="Calibri"/>
          <w:b/>
          <w:color w:val="2E74B5"/>
          <w:sz w:val="32"/>
        </w:rPr>
        <w:t>Executive Summary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The current sample contains 160 markets and 40,678 training rows spanning 2025-05-10 to 2026-05-30.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The OLS model reaches an adjusted R² of 0.686. The random forest reaches a mean time-series cross-validation R² of 0.590.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Relative to US Elections, the largest positive category effects in the OLS output come from Crypto Corporate and Crypto Airdrops, while Football / Soccer is slightly lower in this sample.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The random forest ranks bid ask spread first and log volume second. Category contributes 1.1% of total feature importance.</w:t>
      </w:r>
    </w:p>
    <w:p>
      <w:pPr>
        <w:pStyle w:val="Heading1"/>
        <w:keepNext/>
        <w:spacing w:before="320" w:after="160"/>
        <w:jc w:val="left"/>
      </w:pPr>
      <w:r>
        <w:rPr>
          <w:rFonts w:ascii="Calibri" w:hAnsi="Calibri"/>
          <w:b/>
          <w:color w:val="2E74B5"/>
          <w:sz w:val="32"/>
        </w:rPr>
        <w:t>Coverage Snapshot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Markets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160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Analytical rows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40,678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Date span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2025-05-10 to 2026-05-30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Reference category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US Elections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Top feature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Bid Ask Spread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Second feature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Log Volume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Significant category terms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6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606E80"/>
                <w:sz w:val="20"/>
              </w:rPr>
              <w:t>Category importance share</w:t>
            </w:r>
          </w:p>
        </w:tc>
        <w:tc>
          <w:tcPr>
            <w:tcW w:type="dxa" w:w="69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color w:val="1F252D"/>
                <w:sz w:val="20"/>
              </w:rPr>
              <w:t>1.1%</w:t>
            </w:r>
          </w:p>
        </w:tc>
      </w:tr>
    </w:tbl>
    <w:p>
      <w:pPr>
        <w:pStyle w:val="Heading1"/>
        <w:keepNext/>
        <w:spacing w:before="320" w:after="160"/>
        <w:jc w:val="left"/>
      </w:pPr>
      <w:r>
        <w:rPr>
          <w:rFonts w:ascii="Calibri" w:hAnsi="Calibri"/>
          <w:b/>
          <w:color w:val="2E74B5"/>
          <w:sz w:val="32"/>
        </w:rPr>
        <w:t>Category Rankings Output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The ranking chart and table below summarize realized 7-day volatility by expanded market category.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319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rank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color w:val="606E80"/>
          <w:sz w:val="18"/>
        </w:rPr>
        <w:t>Figure 1. Median realized 7-day volatility by expanded category.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1080"/>
        <w:gridCol w:w="1380"/>
        <w:gridCol w:w="1260"/>
        <w:gridCol w:w="1260"/>
        <w:gridCol w:w="2280"/>
      </w:tblGrid>
      <w:tr>
        <w:trPr/>
        <w:tc>
          <w:tcPr>
            <w:tcW w:type="dxa" w:w="21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Category</w:t>
            </w:r>
          </w:p>
        </w:tc>
        <w:tc>
          <w:tcPr>
            <w:tcW w:type="dxa" w:w="108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Markets</w:t>
            </w:r>
          </w:p>
        </w:tc>
        <w:tc>
          <w:tcPr>
            <w:tcW w:type="dxa" w:w="138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Observations</w:t>
            </w:r>
          </w:p>
        </w:tc>
        <w:tc>
          <w:tcPr>
            <w:tcW w:type="dxa" w:w="126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Median 7d vol</w:t>
            </w:r>
          </w:p>
        </w:tc>
        <w:tc>
          <w:tcPr>
            <w:tcW w:type="dxa" w:w="126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Mean 7d vol</w:t>
            </w:r>
          </w:p>
        </w:tc>
        <w:tc>
          <w:tcPr>
            <w:tcW w:type="dxa" w:w="228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Avg volume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Crypto Airdrops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7</w:t>
            </w:r>
          </w:p>
        </w:tc>
        <w:tc>
          <w:tcPr>
            <w:tcW w:type="dxa" w:w="13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856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0.0317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0.0322</w:t>
            </w:r>
          </w:p>
        </w:tc>
        <w:tc>
          <w:tcPr>
            <w:tcW w:type="dxa" w:w="22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659.3K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Crypto Corporate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5</w:t>
            </w:r>
          </w:p>
        </w:tc>
        <w:tc>
          <w:tcPr>
            <w:tcW w:type="dxa" w:w="13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677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0.0157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0.0243</w:t>
            </w:r>
          </w:p>
        </w:tc>
        <w:tc>
          <w:tcPr>
            <w:tcW w:type="dxa" w:w="22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2.6M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Other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</w:t>
            </w:r>
          </w:p>
        </w:tc>
        <w:tc>
          <w:tcPr>
            <w:tcW w:type="dxa" w:w="13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724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0.0146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0.0214</w:t>
            </w:r>
          </w:p>
        </w:tc>
        <w:tc>
          <w:tcPr>
            <w:tcW w:type="dxa" w:w="22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8.1M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Hockey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</w:t>
            </w:r>
          </w:p>
        </w:tc>
        <w:tc>
          <w:tcPr>
            <w:tcW w:type="dxa" w:w="13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866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0.0026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0.0063</w:t>
            </w:r>
          </w:p>
        </w:tc>
        <w:tc>
          <w:tcPr>
            <w:tcW w:type="dxa" w:w="22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56.0M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Basketball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23</w:t>
            </w:r>
          </w:p>
        </w:tc>
        <w:tc>
          <w:tcPr>
            <w:tcW w:type="dxa" w:w="13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6737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0.0008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0.0025</w:t>
            </w:r>
          </w:p>
        </w:tc>
        <w:tc>
          <w:tcPr>
            <w:tcW w:type="dxa" w:w="22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139.4M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Football / Soccer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46</w:t>
            </w:r>
          </w:p>
        </w:tc>
        <w:tc>
          <w:tcPr>
            <w:tcW w:type="dxa" w:w="13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10471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0.0004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0.0015</w:t>
            </w:r>
          </w:p>
        </w:tc>
        <w:tc>
          <w:tcPr>
            <w:tcW w:type="dxa" w:w="22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27.8M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US Elections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73</w:t>
            </w:r>
          </w:p>
        </w:tc>
        <w:tc>
          <w:tcPr>
            <w:tcW w:type="dxa" w:w="13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21467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0.0004</w:t>
            </w:r>
          </w:p>
        </w:tc>
        <w:tc>
          <w:tcPr>
            <w:tcW w:type="dxa" w:w="12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0.0009</w:t>
            </w:r>
          </w:p>
        </w:tc>
        <w:tc>
          <w:tcPr>
            <w:tcW w:type="dxa" w:w="22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28.3M</w:t>
            </w:r>
          </w:p>
        </w:tc>
      </w:tr>
    </w:tbl>
    <w:p>
      <w:pPr>
        <w:pStyle w:val="Heading1"/>
        <w:keepNext/>
        <w:spacing w:before="320" w:after="160"/>
        <w:jc w:val="left"/>
      </w:pPr>
      <w:r>
        <w:rPr>
          <w:rFonts w:ascii="Calibri" w:hAnsi="Calibri"/>
          <w:b/>
          <w:color w:val="2E74B5"/>
          <w:sz w:val="32"/>
        </w:rPr>
        <w:t>Time-Series and Correlation Outputs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These charts show how average category volatility evolves over time and how the engineered predictors move together in the analytical panel.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319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_over_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color w:val="606E80"/>
          <w:sz w:val="18"/>
        </w:rPr>
        <w:t>Figure 2. Average category-level volatility over calendar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503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503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color w:val="606E80"/>
          <w:sz w:val="18"/>
        </w:rPr>
        <w:t>Figure 3. Correlation matrix for core analytical variables.</w:t>
      </w:r>
    </w:p>
    <w:p>
      <w:pPr>
        <w:pStyle w:val="Heading1"/>
        <w:keepNext/>
        <w:spacing w:before="320" w:after="160"/>
        <w:jc w:val="left"/>
      </w:pPr>
      <w:r>
        <w:rPr>
          <w:rFonts w:ascii="Calibri" w:hAnsi="Calibri"/>
          <w:b/>
          <w:color w:val="2E74B5"/>
          <w:sz w:val="32"/>
        </w:rPr>
        <w:t>OLS Regression Output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The coefficient tables below separate category effects from control-variable effects so the category signal is easier to read.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760"/>
        <w:gridCol w:w="1800"/>
        <w:gridCol w:w="1800"/>
      </w:tblGrid>
      <w:tr>
        <w:trPr/>
        <w:tc>
          <w:tcPr>
            <w:tcW w:type="dxa" w:w="576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Category term vs reference</w:t>
            </w:r>
          </w:p>
        </w:tc>
        <w:tc>
          <w:tcPr>
            <w:tcW w:type="dxa" w:w="18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Coefficient</w:t>
            </w:r>
          </w:p>
        </w:tc>
        <w:tc>
          <w:tcPr>
            <w:tcW w:type="dxa" w:w="18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P-value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Basketball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0.0004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0.0441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Crypto Airdrops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0.0073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2.37e-136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Crypto Corporate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0.0085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1.05e-195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Football / Soccer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-0.0005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0.0145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Hockey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0.0023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1.39e-19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Other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0.0042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5.16e-48</w:t>
            </w:r>
          </w:p>
        </w:tc>
      </w:tr>
    </w:tbl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760"/>
        <w:gridCol w:w="1800"/>
        <w:gridCol w:w="1800"/>
      </w:tblGrid>
      <w:tr>
        <w:trPr/>
        <w:tc>
          <w:tcPr>
            <w:tcW w:type="dxa" w:w="576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Control term</w:t>
            </w:r>
          </w:p>
        </w:tc>
        <w:tc>
          <w:tcPr>
            <w:tcW w:type="dxa" w:w="18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Coefficient</w:t>
            </w:r>
          </w:p>
        </w:tc>
        <w:tc>
          <w:tcPr>
            <w:tcW w:type="dxa" w:w="18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P-value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Intercept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0.0091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1.04e-60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Bid-ask spread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0.1015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1.97e-238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Log volume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-0.0005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3.92e-68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Probability level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0.0161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Recent volatility (7d)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0.2765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Time to expiry (days)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-0.0000</w:t>
            </w:r>
          </w:p>
        </w:tc>
        <w:tc>
          <w:tcPr>
            <w:tcW w:type="dxa" w:w="18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0.00181</w:t>
            </w:r>
          </w:p>
        </w:tc>
      </w:tr>
    </w:tbl>
    <w:p>
      <w:pPr>
        <w:pStyle w:val="Heading1"/>
        <w:keepNext/>
        <w:spacing w:before="320" w:after="160"/>
        <w:jc w:val="left"/>
      </w:pPr>
      <w:r>
        <w:rPr>
          <w:rFonts w:ascii="Calibri" w:hAnsi="Calibri"/>
          <w:b/>
          <w:color w:val="2E74B5"/>
          <w:sz w:val="32"/>
        </w:rPr>
        <w:t>Random Forest Output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The random forest captures non-linear predictive structure and provides a separate ranking of feature importance.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3192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Calibri" w:hAnsi="Calibri"/>
          <w:color w:val="606E80"/>
          <w:sz w:val="18"/>
        </w:rPr>
        <w:t>Figure 4. Aggregated random-forest feature importance share.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760"/>
        <w:gridCol w:w="3600"/>
      </w:tblGrid>
      <w:tr>
        <w:trPr/>
        <w:tc>
          <w:tcPr>
            <w:tcW w:type="dxa" w:w="576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Feature group</w:t>
            </w:r>
          </w:p>
        </w:tc>
        <w:tc>
          <w:tcPr>
            <w:tcW w:type="dxa" w:w="36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Importance share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Bid Ask Spread</w:t>
            </w:r>
          </w:p>
        </w:tc>
        <w:tc>
          <w:tcPr>
            <w:tcW w:type="dxa" w:w="36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0.405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Log Volume</w:t>
            </w:r>
          </w:p>
        </w:tc>
        <w:tc>
          <w:tcPr>
            <w:tcW w:type="dxa" w:w="36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0.221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Time To Expiry Days</w:t>
            </w:r>
          </w:p>
        </w:tc>
        <w:tc>
          <w:tcPr>
            <w:tcW w:type="dxa" w:w="36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0.149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Recent Volatility 7D</w:t>
            </w:r>
          </w:p>
        </w:tc>
        <w:tc>
          <w:tcPr>
            <w:tcW w:type="dxa" w:w="36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0.113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Prob Level</w:t>
            </w:r>
          </w:p>
        </w:tc>
        <w:tc>
          <w:tcPr>
            <w:tcW w:type="dxa" w:w="36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0.100</w:t>
            </w:r>
          </w:p>
        </w:tc>
      </w:tr>
      <w:tr>
        <w:trPr/>
        <w:tc>
          <w:tcPr>
            <w:tcW w:type="dxa" w:w="576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Category</w:t>
            </w:r>
          </w:p>
        </w:tc>
        <w:tc>
          <w:tcPr>
            <w:tcW w:type="dxa" w:w="36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0.011</w:t>
            </w:r>
          </w:p>
        </w:tc>
      </w:tr>
    </w:tbl>
    <w:p>
      <w:pPr>
        <w:pStyle w:val="Heading1"/>
        <w:keepNext/>
        <w:spacing w:before="320" w:after="160"/>
        <w:jc w:val="left"/>
      </w:pPr>
      <w:r>
        <w:rPr>
          <w:rFonts w:ascii="Calibri" w:hAnsi="Calibri"/>
          <w:b/>
          <w:color w:val="2E74B5"/>
          <w:sz w:val="32"/>
        </w:rPr>
        <w:t>High-Risk Market Output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The table below shows the current top-risk markets based on the normalized OLS-predicted forward-volatility score.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1440"/>
        <w:gridCol w:w="900"/>
        <w:gridCol w:w="1080"/>
        <w:gridCol w:w="1200"/>
        <w:gridCol w:w="1440"/>
      </w:tblGrid>
      <w:tr>
        <w:trPr/>
        <w:tc>
          <w:tcPr>
            <w:tcW w:type="dxa" w:w="33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Market title</w:t>
            </w:r>
          </w:p>
        </w:tc>
        <w:tc>
          <w:tcPr>
            <w:tcW w:type="dxa" w:w="144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Category</w:t>
            </w:r>
          </w:p>
        </w:tc>
        <w:tc>
          <w:tcPr>
            <w:tcW w:type="dxa" w:w="9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Risk score</w:t>
            </w:r>
          </w:p>
        </w:tc>
        <w:tc>
          <w:tcPr>
            <w:tcW w:type="dxa" w:w="108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Probability</w:t>
            </w:r>
          </w:p>
        </w:tc>
        <w:tc>
          <w:tcPr>
            <w:tcW w:type="dxa" w:w="120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Days to expiry</w:t>
            </w:r>
          </w:p>
        </w:tc>
        <w:tc>
          <w:tcPr>
            <w:tcW w:type="dxa" w:w="144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Current 7d vol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Will Hyperliquid perform an airdrop by</w:t>
              <w:br/>
              <w:t>June 30, 2027?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Crypto Airdrops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10.00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0.415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397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0.0255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Will MegaETH perform an airdrop by</w:t>
              <w:br/>
              <w:t>December 31, 2026?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Crypto Airdrops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9.05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0.455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216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0.0579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Will Hyperliquid perform an airdrop by</w:t>
              <w:br/>
              <w:t>December 31, 2027?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Crypto Airdrops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5.98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0.410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581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0.0543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MicroStrategy sells any Bitcoin by</w:t>
              <w:br/>
              <w:t>December 31, 2026?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Crypto Corporate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5.70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0.890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216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0.0412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MicroStrategy sells any Bitcoin by June</w:t>
              <w:br/>
              <w:t>30, 2026?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Crypto Corporate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5.58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0.695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32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0.0579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MicroStrategy sells any Bitcoin by May 31,</w:t>
              <w:br/>
              <w:t>2026?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Crypto Corporate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4.34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0.227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32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0.0558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Kraken IPO by December 31, 2026?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Crypto Corporate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4.31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0.320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216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0.0311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Taylor Swift pregnant before 2027?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Other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3.95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0.255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215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0.0225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Will Pump.fun perform an airdrop by</w:t>
              <w:br/>
              <w:t>December 31, 2026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Crypto Airdrops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3.60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0.250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216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0.0129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Will the San Antonio Spurs win the 2026</w:t>
              <w:br/>
              <w:t>NBA Finals?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Basketball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3.18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0.255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32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0.0579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Will the Colorado Avalanche win the 2026</w:t>
              <w:br/>
              <w:t>NHL Stanley Cup?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Hockey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3.02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0.051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34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0.0579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Will MegaETH perform an airdrop by June</w:t>
              <w:br/>
              <w:t>30?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Crypto Airdrops</w:t>
            </w:r>
          </w:p>
        </w:tc>
        <w:tc>
          <w:tcPr>
            <w:tcW w:type="dxa" w:w="9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2.82</w:t>
            </w:r>
          </w:p>
        </w:tc>
        <w:tc>
          <w:tcPr>
            <w:tcW w:type="dxa" w:w="108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0.159</w:t>
            </w:r>
          </w:p>
        </w:tc>
        <w:tc>
          <w:tcPr>
            <w:tcW w:type="dxa" w:w="120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32</w:t>
            </w:r>
          </w:p>
        </w:tc>
        <w:tc>
          <w:tcPr>
            <w:tcW w:type="dxa" w:w="14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color w:val="1F252D"/>
                <w:sz w:val="18"/>
              </w:rPr>
              <w:t>0.0082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spacing w:before="320" w:after="160"/>
        <w:jc w:val="left"/>
      </w:pPr>
      <w:r>
        <w:rPr>
          <w:rFonts w:ascii="Calibri" w:hAnsi="Calibri"/>
          <w:b/>
          <w:color w:val="2E74B5"/>
          <w:sz w:val="32"/>
        </w:rPr>
        <w:t>Saved Artifact Inventory</w:t>
      </w:r>
    </w:p>
    <w:p>
      <w:pPr>
        <w:spacing w:before="0" w:after="120" w:line="264" w:lineRule="auto"/>
        <w:jc w:val="left"/>
      </w:pPr>
      <w:r>
        <w:rPr>
          <w:rFonts w:ascii="Calibri" w:hAnsi="Calibri"/>
          <w:color w:val="1F252D"/>
          <w:sz w:val="22"/>
        </w:rPr>
        <w:t>This appendix lists the saved outputs currently backing the notebook and the Streamlit application.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40"/>
        <w:gridCol w:w="6720"/>
      </w:tblGrid>
      <w:tr>
        <w:trPr/>
        <w:tc>
          <w:tcPr>
            <w:tcW w:type="dxa" w:w="264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Artifact</w:t>
            </w:r>
          </w:p>
        </w:tc>
        <w:tc>
          <w:tcPr>
            <w:tcW w:type="dxa" w:w="6720"/>
            <w:vAlign w:val="center"/>
            <w:shd w:fill="F2F4F7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F252D"/>
                <w:sz w:val="18"/>
              </w:rPr>
              <w:t>Purpose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raw_markets.csv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Market-level metadata pulled from Polymarket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raw_prices.csv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Raw price-history observations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analytical_dataset.csv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Clean modeling dataset with forward-volatility target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scoring_dataset.csv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Scoring dataset used for dashboard market snapshots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latest_market_scores.csv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Latest market-level risk scores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category_rankings.csv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Category-level volatility summary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volatility_over_time.csv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Date x category average volatility series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correlation_matrix.csv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Analytical correlation matrix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ols_coefficients.csv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OLS regression coefficient table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rf_feature_importances.csv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Aggregated random-forest importances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model_metrics.json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Summary metrics consumed by the dashboard</w:t>
            </w:r>
          </w:p>
        </w:tc>
      </w:tr>
      <w:tr>
        <w:trPr/>
        <w:tc>
          <w:tcPr>
            <w:tcW w:type="dxa" w:w="264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notebooks/analysis.ipynb</w:t>
            </w:r>
          </w:p>
        </w:tc>
        <w:tc>
          <w:tcPr>
            <w:tcW w:type="dxa" w:w="6720"/>
            <w:vAlign w:val="center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Calibri" w:hAnsi="Calibri"/>
                <w:color w:val="1F252D"/>
                <w:sz w:val="18"/>
              </w:rPr>
              <w:t>Notebook version of the analysis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E80"/>
        <w:sz w:val="18"/>
      </w:rPr>
      <w:t>Outputs report generated from committed MVP artifacts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06E80"/>
        <w:sz w:val="18"/>
      </w:rPr>
      <w:t>Prediction Market Volatility Modeling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5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