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before="160" w:after="80"/>
      </w:pPr>
      <w:r>
        <w:rPr>
          <w:rFonts w:ascii="Calibri" w:hAnsi="Calibri"/>
          <w:b/>
          <w:color w:val="1F252D"/>
          <w:sz w:val="48"/>
        </w:rPr>
        <w:t>Prediction Market Volatility Outputs Report (Crypto Excluded)</w:t>
      </w:r>
    </w:p>
    <w:p>
      <w:pPr>
        <w:spacing w:after="360"/>
      </w:pPr>
      <w:r>
        <w:rPr>
          <w:rFonts w:ascii="Calibri" w:hAnsi="Calibri"/>
          <w:color w:val="606E80"/>
          <w:sz w:val="28"/>
        </w:rPr>
        <w:t>Polymarket category-volatility MVP | non-crypto slice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Research question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Can market category predict future volatility after controls?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Generated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2026-05-30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Markets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148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Training rows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39,229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Date span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2025-05-10 to 2026-05-30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Reference category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US Elections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Excluded categories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Crypto Airdrops, Crypto Corporate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Excluded markets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12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Excluded observations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1,533</w:t>
            </w:r>
          </w:p>
        </w:tc>
      </w:tr>
    </w:tbl>
    <w:p>
      <w:pPr>
        <w:spacing w:before="0" w:after="200" w:line="264" w:lineRule="auto"/>
        <w:jc w:val="left"/>
      </w:pPr>
      <w:r>
        <w:rPr>
          <w:rFonts w:ascii="Calibri" w:hAnsi="Calibri"/>
          <w:color w:val="1F252D"/>
          <w:sz w:val="22"/>
        </w:rPr>
        <w:t>This document recomputes the analysis after excluding categories whose labels contain the requested token(s): Crypto Airdrops, Crypto Corporate. All tables, charts, OLS coefficients, random-forest importances, and market-risk rankings in this report are derived from the filtered non-crypto subset.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Executive Summary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current sample contains 148 markets and 39,229 training rows spanning 2025-05-10 to 2026-05-30.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This slice excludes 12 markets across the category bucket(s) Crypto Airdrops, Crypto Corporate, removing 1,533 daily scoring observations from the report scope.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OLS model reaches an adjusted R² of 0.589. The random forest reaches a mean time-series cross-validation R² of 0.228.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Relative to US Elections, the strongest positive category effect is Other (0.0047, p=1.53e-94), while the lowest category effect is Football / Soccer (0.0011, p=2.43e-12).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random forest ranks log volume first and time to expiry days second. Category contributes 1.3% of total feature importance.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Coverage Snapshot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Markets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148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Analytical rows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39,229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Date span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2025-05-10 to 2026-05-30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Reference category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US Elections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Top feature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Log Volume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Second feature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Time To Expiry Days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Significant category terms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4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Category importance share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1.3%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Excluded categories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Crypto Airdrops, Crypto Corporate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Excluded markets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12</w:t>
            </w:r>
          </w:p>
        </w:tc>
      </w:tr>
    </w:tbl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Category Rankings Output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ranking chart and table below summarize realized 7-day volatility by expanded market category.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19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rank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color w:val="606E80"/>
          <w:sz w:val="18"/>
        </w:rPr>
        <w:t>Figure 1. Median realized 7-day volatility by expanded category.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080"/>
        <w:gridCol w:w="1380"/>
        <w:gridCol w:w="1260"/>
        <w:gridCol w:w="1260"/>
        <w:gridCol w:w="2280"/>
      </w:tblGrid>
      <w:tr>
        <w:trPr/>
        <w:tc>
          <w:tcPr>
            <w:tcW w:type="dxa" w:w="21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Category</w:t>
            </w:r>
          </w:p>
        </w:tc>
        <w:tc>
          <w:tcPr>
            <w:tcW w:type="dxa" w:w="108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Markets</w:t>
            </w:r>
          </w:p>
        </w:tc>
        <w:tc>
          <w:tcPr>
            <w:tcW w:type="dxa" w:w="138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Observations</w:t>
            </w:r>
          </w:p>
        </w:tc>
        <w:tc>
          <w:tcPr>
            <w:tcW w:type="dxa" w:w="126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Median 7d vol</w:t>
            </w:r>
          </w:p>
        </w:tc>
        <w:tc>
          <w:tcPr>
            <w:tcW w:type="dxa" w:w="126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Mean 7d vol</w:t>
            </w:r>
          </w:p>
        </w:tc>
        <w:tc>
          <w:tcPr>
            <w:tcW w:type="dxa" w:w="228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Avg volume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Other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</w:t>
            </w:r>
          </w:p>
        </w:tc>
        <w:tc>
          <w:tcPr>
            <w:tcW w:type="dxa" w:w="13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724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0.0146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0.0214</w:t>
            </w:r>
          </w:p>
        </w:tc>
        <w:tc>
          <w:tcPr>
            <w:tcW w:type="dxa" w:w="22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8.1M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Hockey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</w:t>
            </w:r>
          </w:p>
        </w:tc>
        <w:tc>
          <w:tcPr>
            <w:tcW w:type="dxa" w:w="13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866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0.0026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0.0063</w:t>
            </w:r>
          </w:p>
        </w:tc>
        <w:tc>
          <w:tcPr>
            <w:tcW w:type="dxa" w:w="22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56.0M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Basketball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23</w:t>
            </w:r>
          </w:p>
        </w:tc>
        <w:tc>
          <w:tcPr>
            <w:tcW w:type="dxa" w:w="13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6737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0.0008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0.0025</w:t>
            </w:r>
          </w:p>
        </w:tc>
        <w:tc>
          <w:tcPr>
            <w:tcW w:type="dxa" w:w="22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139.4M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Football / Soccer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46</w:t>
            </w:r>
          </w:p>
        </w:tc>
        <w:tc>
          <w:tcPr>
            <w:tcW w:type="dxa" w:w="13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10471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0.0004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0.0015</w:t>
            </w:r>
          </w:p>
        </w:tc>
        <w:tc>
          <w:tcPr>
            <w:tcW w:type="dxa" w:w="22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27.8M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US Elections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73</w:t>
            </w:r>
          </w:p>
        </w:tc>
        <w:tc>
          <w:tcPr>
            <w:tcW w:type="dxa" w:w="13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21467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0.0004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0.0009</w:t>
            </w:r>
          </w:p>
        </w:tc>
        <w:tc>
          <w:tcPr>
            <w:tcW w:type="dxa" w:w="22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28.3M</w:t>
            </w:r>
          </w:p>
        </w:tc>
      </w:tr>
    </w:tbl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Time-Series and Correlation Outputs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These charts show how average category volatility evolves over time and how the engineered predictors move together in the analytical panel.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19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_over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color w:val="606E80"/>
          <w:sz w:val="18"/>
        </w:rPr>
        <w:t>Figure 2. Average category-level volatility over calendar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503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03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color w:val="606E80"/>
          <w:sz w:val="18"/>
        </w:rPr>
        <w:t>Figure 3. Correlation matrix for core analytical variables.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OLS Regression Output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coefficient tables below separate category effects from control-variable effects so the category signal is easier to read.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760"/>
        <w:gridCol w:w="1800"/>
        <w:gridCol w:w="1800"/>
      </w:tblGrid>
      <w:tr>
        <w:trPr/>
        <w:tc>
          <w:tcPr>
            <w:tcW w:type="dxa" w:w="576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Category term vs reference</w:t>
            </w:r>
          </w:p>
        </w:tc>
        <w:tc>
          <w:tcPr>
            <w:tcW w:type="dxa" w:w="18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Coefficient</w:t>
            </w:r>
          </w:p>
        </w:tc>
        <w:tc>
          <w:tcPr>
            <w:tcW w:type="dxa" w:w="18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P-value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Basketball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0.0020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3.2e-38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Football / Soccer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0.0011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2.43e-12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Hockey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0.0041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8.41e-109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Other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0.0047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1.53e-94</w:t>
            </w:r>
          </w:p>
        </w:tc>
      </w:tr>
    </w:tbl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760"/>
        <w:gridCol w:w="1800"/>
        <w:gridCol w:w="1800"/>
      </w:tblGrid>
      <w:tr>
        <w:trPr/>
        <w:tc>
          <w:tcPr>
            <w:tcW w:type="dxa" w:w="576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Control term</w:t>
            </w:r>
          </w:p>
        </w:tc>
        <w:tc>
          <w:tcPr>
            <w:tcW w:type="dxa" w:w="18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Coefficient</w:t>
            </w:r>
          </w:p>
        </w:tc>
        <w:tc>
          <w:tcPr>
            <w:tcW w:type="dxa" w:w="18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P-value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Intercept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0.0071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2.21e-65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Bid-ask spread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0.1783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Log volume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-0.0005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1.4e-99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Probability level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0.0153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Recent volatility (7d)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0.2259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Time to expiry (days)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0.0000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5.98e-10</w:t>
            </w:r>
          </w:p>
        </w:tc>
      </w:tr>
    </w:tbl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Random Forest Output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random forest captures non-linear predictive structure and provides a separate ranking of feature importance.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19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color w:val="606E80"/>
          <w:sz w:val="18"/>
        </w:rPr>
        <w:t>Figure 4. Aggregated random-forest feature importance share.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760"/>
        <w:gridCol w:w="3600"/>
      </w:tblGrid>
      <w:tr>
        <w:trPr/>
        <w:tc>
          <w:tcPr>
            <w:tcW w:type="dxa" w:w="576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Feature group</w:t>
            </w:r>
          </w:p>
        </w:tc>
        <w:tc>
          <w:tcPr>
            <w:tcW w:type="dxa" w:w="36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Importance share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Log Volume</w:t>
            </w:r>
          </w:p>
        </w:tc>
        <w:tc>
          <w:tcPr>
            <w:tcW w:type="dxa" w:w="36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0.420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Time To Expiry Days</w:t>
            </w:r>
          </w:p>
        </w:tc>
        <w:tc>
          <w:tcPr>
            <w:tcW w:type="dxa" w:w="36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0.231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Recent Volatility 7D</w:t>
            </w:r>
          </w:p>
        </w:tc>
        <w:tc>
          <w:tcPr>
            <w:tcW w:type="dxa" w:w="36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0.170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Prob Level</w:t>
            </w:r>
          </w:p>
        </w:tc>
        <w:tc>
          <w:tcPr>
            <w:tcW w:type="dxa" w:w="36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0.147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Bid Ask Spread</w:t>
            </w:r>
          </w:p>
        </w:tc>
        <w:tc>
          <w:tcPr>
            <w:tcW w:type="dxa" w:w="36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0.017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Category</w:t>
            </w:r>
          </w:p>
        </w:tc>
        <w:tc>
          <w:tcPr>
            <w:tcW w:type="dxa" w:w="36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0.013</w:t>
            </w:r>
          </w:p>
        </w:tc>
      </w:tr>
    </w:tbl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High-Risk Market Output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table below shows the current top-risk markets based on the normalized OLS-predicted forward-volatility score.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440"/>
        <w:gridCol w:w="900"/>
        <w:gridCol w:w="1080"/>
        <w:gridCol w:w="1200"/>
        <w:gridCol w:w="1440"/>
      </w:tblGrid>
      <w:tr>
        <w:trPr/>
        <w:tc>
          <w:tcPr>
            <w:tcW w:type="dxa" w:w="33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Market title</w:t>
            </w:r>
          </w:p>
        </w:tc>
        <w:tc>
          <w:tcPr>
            <w:tcW w:type="dxa" w:w="144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Category</w:t>
            </w:r>
          </w:p>
        </w:tc>
        <w:tc>
          <w:tcPr>
            <w:tcW w:type="dxa" w:w="9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Risk score</w:t>
            </w:r>
          </w:p>
        </w:tc>
        <w:tc>
          <w:tcPr>
            <w:tcW w:type="dxa" w:w="108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Probability</w:t>
            </w:r>
          </w:p>
        </w:tc>
        <w:tc>
          <w:tcPr>
            <w:tcW w:type="dxa" w:w="12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Days to expiry</w:t>
            </w:r>
          </w:p>
        </w:tc>
        <w:tc>
          <w:tcPr>
            <w:tcW w:type="dxa" w:w="144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Current 7d vol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Taylor Swift pregnant before 2027?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Other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10.00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0.255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215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0.0225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OpenAI launch a new consumer hardware</w:t>
              <w:br/>
              <w:t>product by December 31, 2026?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Other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6.81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0.155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215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0.0096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the San Antonio Spurs win the 2026</w:t>
              <w:br/>
              <w:t>NBA Finals?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Basketball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5.96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0.255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32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0.0579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the Colorado Avalanche win the 2026</w:t>
              <w:br/>
              <w:t>NHL Stanley Cup?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Hockey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5.73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0.051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34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0.0579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the New York Knicks win the 2026 NBA</w:t>
              <w:br/>
              <w:t>Finals?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Basketball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3.50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0.321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32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0.0191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J.D. Vance win the 2028 Republican</w:t>
              <w:br/>
              <w:t>presidential nomination?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US Elections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2.17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0.324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892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0.0050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GTA VI released before June 2026?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Other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1.51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0.001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0.0007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the Detroit Pistons win the 2026 NBA</w:t>
              <w:br/>
              <w:t>Finals?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Basketball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1.48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0.038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44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0.0111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Gavin Newsom win the 2028 Democratic</w:t>
              <w:br/>
              <w:t>presidential nomination?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US Elections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1.41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0.237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892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0.0019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JD Vance win the 2028 US Presidential</w:t>
              <w:br/>
              <w:t>Election?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US Elections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1.29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0.183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892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0.0026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Alexandria Ocasio-Cortez win the 2028</w:t>
              <w:br/>
              <w:t>Democratic presidential nomination?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US Elections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1.17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0.090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892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0.0072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Spain win the 2026 FIFA World Cup?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Football / Soccer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1.13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0.168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51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0.0021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Saved Artifact Inventory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This appendix lists the saved outputs backing the notebook and Streamlit application.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40"/>
        <w:gridCol w:w="6720"/>
      </w:tblGrid>
      <w:tr>
        <w:trPr/>
        <w:tc>
          <w:tcPr>
            <w:tcW w:type="dxa" w:w="264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Artifact</w:t>
            </w:r>
          </w:p>
        </w:tc>
        <w:tc>
          <w:tcPr>
            <w:tcW w:type="dxa" w:w="672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Purpose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raw_markets.csv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Market-level metadata pulled from Polymarket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raw_prices.csv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Raw price-history observations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analytical_dataset.csv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Clean modeling dataset with forward-volatility target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scoring_dataset.csv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Scoring dataset used for dashboard market snapshots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latest_market_scores.csv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Latest market-level risk scores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category_rankings.csv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Category-level volatility summary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volatility_over_time.csv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Date x category average volatility series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correlation_matrix.csv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Analytical correlation matrix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ols_coefficients.csv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OLS regression coefficient table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rf_feature_importances.csv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Aggregated random-forest importances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model_metrics.json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Summary metrics consumed by the dashboard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notebooks/analysis.ipynb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Notebook version of the analysis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E80"/>
        <w:sz w:val="18"/>
      </w:rPr>
      <w:t>Outputs report generated from committed MVP artifacts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06E80"/>
        <w:sz w:val="18"/>
      </w:rPr>
      <w:t>Prediction Market Volatility Modeling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5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