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w:t>
      </w:r>
      <w:proofErr w:type="gramStart"/>
      <w:r>
        <w:t>are presented</w:t>
      </w:r>
      <w:proofErr w:type="gramEnd"/>
      <w: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proofErr w:type="spellStart"/>
      <w:r>
        <w:rPr>
          <w:i/>
        </w:rPr>
        <w:t>ie</w:t>
      </w:r>
      <w:proofErr w:type="spellEnd"/>
      <w:r>
        <w:t xml:space="preserve">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w:t>
      </w:r>
      <w:proofErr w:type="gramStart"/>
      <w:r>
        <w:t>des</w:t>
      </w:r>
      <w:r w:rsidR="00E537A4">
        <w:t>ignations</w:t>
      </w:r>
      <w:proofErr w:type="gramEnd"/>
      <w:r w:rsidR="00E537A4">
        <w:t xml:space="preserve">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rsidR="00681476" w:rsidRDefault="00681476">
      <w:r>
        <w:t xml:space="preserve">This complex combination of variability in morphologic horizon designation and depths </w:t>
      </w:r>
      <w:proofErr w:type="gramStart"/>
      <w:r>
        <w:t>is rarely acknowledged</w:t>
      </w:r>
      <w:proofErr w:type="gramEnd"/>
      <w:r>
        <w:t xml:space="preserve">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681476" w:rsidRDefault="00681476">
      <w:r>
        <w:lastRenderedPageBreak/>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xml:space="preserve">” concept fails as an aggregate representation of a collection, it does offer the user of soil survey a concrete example (of one possible realization) that can be visited and sampled as needed. </w:t>
      </w:r>
    </w:p>
    <w:p w:rsidR="007658B3" w:rsidRDefault="007507A7">
      <w:r>
        <w:t xml:space="preserve">In order to aggregate properties for soil horizons within a collection of soil profiles, horizons </w:t>
      </w:r>
      <w:proofErr w:type="gramStart"/>
      <w:r>
        <w:t>must be systematically correlated</w:t>
      </w:r>
      <w:proofErr w:type="gramEnd"/>
      <w:r>
        <w:t xml:space="preserve"> into groups of similar soil morphology. The aggregation of horizons then becomes a conceptual profile that </w:t>
      </w:r>
      <w:proofErr w:type="gramStart"/>
      <w:r>
        <w:t>is synthesized</w:t>
      </w:r>
      <w:proofErr w:type="gramEnd"/>
      <w:r>
        <w:t xml:space="preserve"> to represent the central concept of the soil morphology conveyed by the entire suite of soil profiles. The use of generalized horizon labels (GHL) provides a framework for correlating individual soil </w:t>
      </w:r>
      <w:proofErr w:type="gramStart"/>
      <w:r>
        <w:t>horizons,</w:t>
      </w:r>
      <w:proofErr w:type="gramEnd"/>
      <w:r>
        <w:t xml:space="preserve"> however, traditional aggregates only provide a coarse summary of corresponding horizon depths derived for the aggregated conceptual profile. This paper presents a novel approach using a depth-slicing method in the </w:t>
      </w:r>
      <w:proofErr w:type="spellStart"/>
      <w:r>
        <w:t>aqp</w:t>
      </w:r>
      <w:proofErr w:type="spellEnd"/>
      <w:r>
        <w:t xml:space="preserve"> package to determine horizon depth probabilities.</w:t>
      </w:r>
    </w:p>
    <w:p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5">
        <w:proofErr w:type="spellStart"/>
        <w:r>
          <w:rPr>
            <w:rStyle w:val="Link"/>
          </w:rPr>
          <w:t>aqp</w:t>
        </w:r>
        <w:proofErr w:type="spellEnd"/>
      </w:hyperlink>
      <w:r>
        <w:t xml:space="preserve"> package for R (Beaudette</w:t>
      </w:r>
      <w:r w:rsidR="00E0213B">
        <w:t xml:space="preserve"> et al.,</w:t>
      </w:r>
      <w:r>
        <w:t xml:space="preserve"> 2013).</w:t>
      </w:r>
    </w:p>
    <w:p w:rsidR="007658B3" w:rsidRDefault="007507A7">
      <w:pPr>
        <w:pStyle w:val="Heading1"/>
      </w:pPr>
      <w:bookmarkStart w:id="2" w:name="materials-and-methods"/>
      <w:r>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moderately deep soils formed in colluvium and residuum from metavolcanic rocks (</w:t>
      </w:r>
      <w:proofErr w:type="spellStart"/>
      <w:r>
        <w:t>greenschist</w:t>
      </w:r>
      <w:proofErr w:type="spellEnd"/>
      <w:r>
        <w:t xml:space="preserve">) (Figure 1). The climate </w:t>
      </w:r>
      <w:proofErr w:type="gramStart"/>
      <w:r>
        <w:t>is characterized</w:t>
      </w:r>
      <w:proofErr w:type="gramEnd"/>
      <w:r>
        <w:t xml:space="preserve">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lastRenderedPageBreak/>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fldSimple w:instr=" SEQ Figure \* ARABIC ">
        <w:r w:rsidR="00906301">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rsidR="007658B3" w:rsidRDefault="007507A7">
      <w:r>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w:t>
      </w:r>
      <w:proofErr w:type="spellStart"/>
      <w:r>
        <w:t>neccessary</w:t>
      </w:r>
      <w:proofErr w:type="spellEnd"/>
      <w:r>
        <w:t xml:space="preserve"> to create and apply a set of rules that map the field-described designations to corresponding GHL. When working with a set of </w:t>
      </w:r>
      <w:proofErr w:type="spellStart"/>
      <w:r>
        <w:t>pedons</w:t>
      </w:r>
      <w:proofErr w:type="spellEnd"/>
      <w:r>
        <w:t xml:space="preserve"> that </w:t>
      </w:r>
      <w:proofErr w:type="gramStart"/>
      <w:r>
        <w:t>have been described</w:t>
      </w:r>
      <w:proofErr w:type="gramEnd"/>
      <w:r>
        <w:t xml:space="preserve">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horizon mid-point 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are needed. For simplicity, only REGEX-based assignment of GHL </w:t>
      </w:r>
      <w:proofErr w:type="gramStart"/>
      <w:r>
        <w:t>was used</w:t>
      </w:r>
      <w:proofErr w:type="gramEnd"/>
      <w:r>
        <w:t xml:space="preserve"> in this study.</w:t>
      </w:r>
    </w:p>
    <w:p w:rsidR="007658B3" w:rsidRDefault="007507A7">
      <w:r>
        <w:t xml:space="preserve">At </w:t>
      </w:r>
      <w:proofErr w:type="gramStart"/>
      <w:r>
        <w:t>present</w:t>
      </w:r>
      <w:proofErr w:type="gramEnd"/>
      <w:r>
        <w:t xml:space="preserve"> there are limited means of capturing this type of soil horizon "micro-correlation" information developed in the application of GHL to soil horizon data. The authors suggest that future studies maintain a record of </w:t>
      </w:r>
      <w:proofErr w:type="spellStart"/>
      <w:r>
        <w:t>orginal</w:t>
      </w:r>
      <w:proofErr w:type="spellEnd"/>
      <w:r>
        <w:t xml:space="preserve"> horizon designations, generalized horizon labels suitable for aggregation, and the rules used to apply these labels. Such a record would be useful </w:t>
      </w:r>
      <w:proofErr w:type="gramStart"/>
      <w:r>
        <w:t>should more data on a soil be collected</w:t>
      </w:r>
      <w:proofErr w:type="gramEnd"/>
      <w:r>
        <w:t xml:space="preserve">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w:t>
      </w:r>
      <w:r>
        <w:lastRenderedPageBreak/>
        <w:t>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w:t>
      </w:r>
      <w:proofErr w:type="gramStart"/>
      <w:r>
        <w:t>has been documented</w:t>
      </w:r>
      <w:proofErr w:type="gramEnd"/>
      <w:r>
        <w:t xml:space="preserve"> in chapter </w:t>
      </w:r>
      <w:r w:rsidRPr="00E943F8">
        <w:rPr>
          <w:b/>
        </w:rPr>
        <w:t>(???)</w:t>
      </w:r>
      <w:r>
        <w:t>.</w:t>
      </w:r>
    </w:p>
    <w:p w:rsidR="007658B3" w:rsidRDefault="007507A7">
      <w:pPr>
        <w:pStyle w:val="Heading3"/>
      </w:pPr>
      <w:bookmarkStart w:id="5" w:name="aggregation-of-generalized-horizon-label"/>
      <w:r>
        <w:t>Aggregation of Generalized Horizon Labels</w:t>
      </w:r>
    </w:p>
    <w:bookmarkEnd w:id="5"/>
    <w:p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fldSimple w:instr=" SEQ Figure \* ARABIC ">
        <w:r w:rsidR="00906301">
          <w:rPr>
            <w:noProof/>
          </w:rPr>
          <w:t>2</w:t>
        </w:r>
      </w:fldSimple>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w:t>
      </w:r>
      <w:proofErr w:type="gramStart"/>
      <w:r>
        <w:t>can be defined</w:t>
      </w:r>
      <w:proofErr w:type="gramEnd"/>
      <w:r>
        <w:t xml:space="preserve">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w:t>
      </w:r>
      <w:proofErr w:type="spellStart"/>
      <w:r>
        <w:t>ncountering</w:t>
      </w:r>
      <w:proofErr w:type="spellEnd"/>
      <w:r>
        <w:t xml:space="preserve">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t>
      </w:r>
      <w:proofErr w:type="gramStart"/>
      <w:r>
        <w:t>was fit</w:t>
      </w:r>
      <w:proofErr w:type="gramEnd"/>
      <w:r>
        <w:t xml:space="preserve">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6" w:name="most-likely-horizon-boundaries"/>
      <w:r>
        <w:t>Most-Likely Horizon Boundaries</w:t>
      </w:r>
    </w:p>
    <w:bookmarkEnd w:id="6"/>
    <w:p w:rsidR="007658B3" w:rsidRDefault="007507A7">
      <w:r>
        <w:t xml:space="preserve">Continuous estimates of GHL probability with depth are a convenient approach to communicating </w:t>
      </w:r>
      <w:proofErr w:type="gramStart"/>
      <w:r>
        <w:t>variability,</w:t>
      </w:r>
      <w:proofErr w:type="gramEnd"/>
      <w:r>
        <w:t xml:space="preserve"> however, there are still cases where discrete horizon depth information is required. For example, </w:t>
      </w:r>
      <w:proofErr w:type="gramStart"/>
      <w:r>
        <w:t>the USDA-NRCS Official Series Description pages are used by a wide range of individuals that may not need this level of detail</w:t>
      </w:r>
      <w:proofErr w:type="gramEnd"/>
      <w:r>
        <w:t xml:space="preserve">. We used a simple strategy for converting these depth functions into a discrete set of "most-likely" GHL boundary depths. At each depth slice, the GHL with the highest probability </w:t>
      </w:r>
      <w:proofErr w:type="gramStart"/>
      <w:r>
        <w:t>is selected</w:t>
      </w:r>
      <w:proofErr w:type="gramEnd"/>
      <w:r>
        <w:t xml:space="preserve">.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rsidR="007658B3" w:rsidRDefault="007507A7">
      <w:pPr>
        <w:pStyle w:val="Heading2"/>
      </w:pPr>
      <w:bookmarkStart w:id="7" w:name="quantification-of-uncertainty"/>
      <w:r>
        <w:t>Quantification of Uncertainty</w:t>
      </w:r>
    </w:p>
    <w:bookmarkEnd w:id="7"/>
    <w:p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proofErr w:type="gramStart"/>
      <w:r>
        <w:t>where</w:t>
      </w:r>
      <w:proofErr w:type="gramEnd"/>
      <w:r>
        <w:t xml:space="preserv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w:t>
      </w:r>
      <w:proofErr w:type="gramStart"/>
      <w:r>
        <w:t>0</w:t>
      </w:r>
      <w:proofErr w:type="gramEnd"/>
      <w:r>
        <w:t xml:space="preserve"> (maximum information, minimum entropy) to 1 (minumum information, maximum entropy). Entropy values </w:t>
      </w:r>
      <w:proofErr w:type="gramStart"/>
      <w:r>
        <w:t>were computed</w:t>
      </w:r>
      <w:proofErr w:type="gramEnd"/>
      <w:r>
        <w:t xml:space="preserve"> along each 1-cm depth slice from predictions generated by the PO-LR model.</w:t>
      </w:r>
    </w:p>
    <w:p w:rsidR="007658B3" w:rsidRDefault="007507A7">
      <w:r>
        <w:t>We used Brier scores (Harrell</w:t>
      </w:r>
      <w:r w:rsidR="00C236B5">
        <w:t>,</w:t>
      </w:r>
      <w:r>
        <w:t xml:space="preserve"> 2001) to quantify agreement between assigned GHL and probabilities of </w:t>
      </w:r>
      <w:proofErr w:type="spellStart"/>
      <w:r>
        <w:t>predictied</w:t>
      </w:r>
      <w:proofErr w:type="spellEnd"/>
      <w:r>
        <w:t xml:space="preserve">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8" w:name="results"/>
      <w:r>
        <w:t>Results</w:t>
      </w:r>
    </w:p>
    <w:p w:rsidR="007658B3" w:rsidRDefault="007507A7">
      <w:pPr>
        <w:pStyle w:val="Heading2"/>
      </w:pPr>
      <w:bookmarkStart w:id="9" w:name="generalized-horizon-labels"/>
      <w:bookmarkEnd w:id="8"/>
      <w:r>
        <w:t>Generalized Horizon Labels</w:t>
      </w:r>
    </w:p>
    <w:bookmarkEnd w:id="9"/>
    <w:p w:rsidR="007658B3" w:rsidRDefault="007507A7">
      <w:r>
        <w:t xml:space="preserve">A graphical representation of the association between field-described horizon designation and associated GHL </w:t>
      </w:r>
      <w:proofErr w:type="gramStart"/>
      <w:r>
        <w:t>is presented</w:t>
      </w:r>
      <w:proofErr w:type="gramEnd"/>
      <w:r>
        <w:t xml:space="preserve"> as a box and whisker plot in Figure 3. Assignment of GHL to the top (A) and bottom-most (Cr and R) genetic horizons by REGEX pattern matching resulted in the most </w:t>
      </w:r>
      <w:proofErr w:type="gramStart"/>
      <w:r>
        <w:t>internally-consistent</w:t>
      </w:r>
      <w:proofErr w:type="gramEnd"/>
      <w:r>
        <w:t xml:space="preserve">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rsidR="006D2E06" w:rsidRDefault="006D2E06" w:rsidP="006D2E06">
      <w:pPr>
        <w:keepNext/>
      </w:pPr>
      <w:r>
        <w:rPr>
          <w:noProof/>
        </w:rPr>
        <w:lastRenderedPageBreak/>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fldSimple w:instr=" SEQ Figure \* ARABIC ">
        <w:r w:rsidR="00906301">
          <w:rPr>
            <w:noProof/>
          </w:rPr>
          <w:t>3</w:t>
        </w:r>
      </w:fldSimple>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r w:rsidR="00EA243A">
        <w:t xml:space="preserve"> The relatively low silhouette width 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831"/>
        <w:gridCol w:w="1768"/>
        <w:gridCol w:w="1512"/>
      </w:tblGrid>
      <w:tr w:rsidR="007658B3" w:rsidRPr="001A1193">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Total RF Volume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c>
          <w:tcPr>
            <w:tcW w:w="0" w:type="auto"/>
            <w:tcBorders>
              <w:bottom w:val="single" w:sz="0" w:space="0" w:color="auto"/>
            </w:tcBorders>
            <w:vAlign w:val="bottom"/>
          </w:tcPr>
          <w:p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tc>
          <w:tcPr>
            <w:tcW w:w="0" w:type="auto"/>
          </w:tcPr>
          <w:p w:rsidR="007658B3" w:rsidRPr="001A1193" w:rsidRDefault="007507A7">
            <w:pPr>
              <w:pStyle w:val="Compact"/>
              <w:rPr>
                <w:sz w:val="18"/>
                <w:szCs w:val="18"/>
              </w:rPr>
            </w:pPr>
            <w:r w:rsidRPr="001A1193">
              <w:rPr>
                <w:sz w:val="18"/>
                <w:szCs w:val="18"/>
              </w:rPr>
              <w:t>Oi</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0.69 (0.37)</w:t>
            </w:r>
          </w:p>
        </w:tc>
        <w:tc>
          <w:tcPr>
            <w:tcW w:w="0" w:type="auto"/>
          </w:tcPr>
          <w:p w:rsidR="007658B3" w:rsidRPr="001A1193" w:rsidRDefault="00B7662B">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A</w:t>
            </w:r>
          </w:p>
        </w:tc>
        <w:tc>
          <w:tcPr>
            <w:tcW w:w="0" w:type="auto"/>
          </w:tcPr>
          <w:p w:rsidR="007658B3" w:rsidRPr="001A1193" w:rsidRDefault="007507A7">
            <w:pPr>
              <w:pStyle w:val="Compact"/>
              <w:rPr>
                <w:sz w:val="18"/>
                <w:szCs w:val="18"/>
              </w:rPr>
            </w:pPr>
            <w:r w:rsidRPr="001A1193">
              <w:rPr>
                <w:sz w:val="18"/>
                <w:szCs w:val="18"/>
              </w:rPr>
              <w:t>15.68 (3.34)</w:t>
            </w:r>
          </w:p>
        </w:tc>
        <w:tc>
          <w:tcPr>
            <w:tcW w:w="0" w:type="auto"/>
          </w:tcPr>
          <w:p w:rsidR="007658B3" w:rsidRPr="001A1193" w:rsidRDefault="007507A7">
            <w:pPr>
              <w:pStyle w:val="Compact"/>
              <w:rPr>
                <w:sz w:val="18"/>
                <w:szCs w:val="18"/>
              </w:rPr>
            </w:pPr>
            <w:r w:rsidRPr="001A1193">
              <w:rPr>
                <w:sz w:val="18"/>
                <w:szCs w:val="18"/>
              </w:rPr>
              <w:t>4.17 (3.19)</w:t>
            </w:r>
          </w:p>
        </w:tc>
        <w:tc>
          <w:tcPr>
            <w:tcW w:w="0" w:type="auto"/>
          </w:tcPr>
          <w:p w:rsidR="007658B3" w:rsidRPr="001A1193" w:rsidRDefault="007507A7">
            <w:pPr>
              <w:pStyle w:val="Compact"/>
              <w:rPr>
                <w:sz w:val="18"/>
                <w:szCs w:val="18"/>
              </w:rPr>
            </w:pPr>
            <w:r w:rsidRPr="001A1193">
              <w:rPr>
                <w:sz w:val="18"/>
                <w:szCs w:val="18"/>
              </w:rPr>
              <w:t>6.51 (7.29)</w:t>
            </w:r>
          </w:p>
        </w:tc>
        <w:tc>
          <w:tcPr>
            <w:tcW w:w="0" w:type="auto"/>
          </w:tcPr>
          <w:p w:rsidR="007658B3" w:rsidRPr="001A1193" w:rsidRDefault="007507A7">
            <w:pPr>
              <w:pStyle w:val="Compact"/>
              <w:rPr>
                <w:sz w:val="18"/>
                <w:szCs w:val="18"/>
              </w:rPr>
            </w:pPr>
            <w:r w:rsidRPr="001A1193">
              <w:rPr>
                <w:sz w:val="18"/>
                <w:szCs w:val="18"/>
              </w:rPr>
              <w:t>3.28 (0.6)</w:t>
            </w:r>
          </w:p>
        </w:tc>
        <w:tc>
          <w:tcPr>
            <w:tcW w:w="0" w:type="auto"/>
          </w:tcPr>
          <w:p w:rsidR="007658B3" w:rsidRPr="001A1193" w:rsidRDefault="007507A7">
            <w:pPr>
              <w:pStyle w:val="Compact"/>
              <w:rPr>
                <w:sz w:val="18"/>
                <w:szCs w:val="18"/>
              </w:rPr>
            </w:pPr>
            <w:r w:rsidRPr="001A1193">
              <w:rPr>
                <w:sz w:val="18"/>
                <w:szCs w:val="18"/>
              </w:rPr>
              <w:t>0.16 (0.17)</w:t>
            </w:r>
          </w:p>
        </w:tc>
      </w:tr>
      <w:tr w:rsidR="007658B3" w:rsidRPr="001A1193">
        <w:tc>
          <w:tcPr>
            <w:tcW w:w="0" w:type="auto"/>
          </w:tcPr>
          <w:p w:rsidR="007658B3" w:rsidRPr="001A1193" w:rsidRDefault="007507A7">
            <w:pPr>
              <w:pStyle w:val="Compact"/>
              <w:rPr>
                <w:sz w:val="18"/>
                <w:szCs w:val="18"/>
              </w:rPr>
            </w:pPr>
            <w:r w:rsidRPr="001A1193">
              <w:rPr>
                <w:sz w:val="18"/>
                <w:szCs w:val="18"/>
              </w:rPr>
              <w:t>BA</w:t>
            </w:r>
          </w:p>
        </w:tc>
        <w:tc>
          <w:tcPr>
            <w:tcW w:w="0" w:type="auto"/>
          </w:tcPr>
          <w:p w:rsidR="007658B3" w:rsidRPr="001A1193" w:rsidRDefault="007507A7">
            <w:pPr>
              <w:pStyle w:val="Compact"/>
              <w:rPr>
                <w:sz w:val="18"/>
                <w:szCs w:val="18"/>
              </w:rPr>
            </w:pPr>
            <w:r w:rsidRPr="001A1193">
              <w:rPr>
                <w:sz w:val="18"/>
                <w:szCs w:val="18"/>
              </w:rPr>
              <w:t>17.57 (3.74)</w:t>
            </w:r>
          </w:p>
        </w:tc>
        <w:tc>
          <w:tcPr>
            <w:tcW w:w="0" w:type="auto"/>
          </w:tcPr>
          <w:p w:rsidR="007658B3" w:rsidRPr="001A1193" w:rsidRDefault="007507A7">
            <w:pPr>
              <w:pStyle w:val="Compact"/>
              <w:rPr>
                <w:sz w:val="18"/>
                <w:szCs w:val="18"/>
              </w:rPr>
            </w:pPr>
            <w:r w:rsidRPr="001A1193">
              <w:rPr>
                <w:sz w:val="18"/>
                <w:szCs w:val="18"/>
              </w:rPr>
              <w:t>12.07 (6.16)</w:t>
            </w:r>
          </w:p>
        </w:tc>
        <w:tc>
          <w:tcPr>
            <w:tcW w:w="0" w:type="auto"/>
          </w:tcPr>
          <w:p w:rsidR="007658B3" w:rsidRPr="001A1193" w:rsidRDefault="007507A7">
            <w:pPr>
              <w:pStyle w:val="Compact"/>
              <w:rPr>
                <w:sz w:val="18"/>
                <w:szCs w:val="18"/>
              </w:rPr>
            </w:pPr>
            <w:r w:rsidRPr="001A1193">
              <w:rPr>
                <w:sz w:val="18"/>
                <w:szCs w:val="18"/>
              </w:rPr>
              <w:t>9.71 (6.5)</w:t>
            </w:r>
          </w:p>
        </w:tc>
        <w:tc>
          <w:tcPr>
            <w:tcW w:w="0" w:type="auto"/>
          </w:tcPr>
          <w:p w:rsidR="007658B3" w:rsidRPr="001A1193" w:rsidRDefault="007507A7">
            <w:pPr>
              <w:pStyle w:val="Compact"/>
              <w:rPr>
                <w:sz w:val="18"/>
                <w:szCs w:val="18"/>
              </w:rPr>
            </w:pPr>
            <w:r w:rsidRPr="001A1193">
              <w:rPr>
                <w:sz w:val="18"/>
                <w:szCs w:val="18"/>
              </w:rPr>
              <w:t>3.57 (0.76)</w:t>
            </w:r>
          </w:p>
        </w:tc>
        <w:tc>
          <w:tcPr>
            <w:tcW w:w="0" w:type="auto"/>
          </w:tcPr>
          <w:p w:rsidR="007658B3" w:rsidRPr="001A1193" w:rsidRDefault="007507A7">
            <w:pPr>
              <w:pStyle w:val="Compact"/>
              <w:rPr>
                <w:sz w:val="18"/>
                <w:szCs w:val="18"/>
              </w:rPr>
            </w:pPr>
            <w:r w:rsidRPr="001A1193">
              <w:rPr>
                <w:sz w:val="18"/>
                <w:szCs w:val="18"/>
              </w:rPr>
              <w:t>-0.12 (0.1)</w:t>
            </w:r>
          </w:p>
        </w:tc>
      </w:tr>
      <w:tr w:rsidR="007658B3" w:rsidRPr="001A1193">
        <w:tc>
          <w:tcPr>
            <w:tcW w:w="0" w:type="auto"/>
          </w:tcPr>
          <w:p w:rsidR="007658B3" w:rsidRPr="001A1193" w:rsidRDefault="007507A7">
            <w:pPr>
              <w:pStyle w:val="Compact"/>
              <w:rPr>
                <w:sz w:val="18"/>
                <w:szCs w:val="18"/>
              </w:rPr>
            </w:pPr>
            <w:r w:rsidRPr="001A1193">
              <w:rPr>
                <w:sz w:val="18"/>
                <w:szCs w:val="18"/>
              </w:rPr>
              <w:t>Bt1</w:t>
            </w:r>
          </w:p>
        </w:tc>
        <w:tc>
          <w:tcPr>
            <w:tcW w:w="0" w:type="auto"/>
          </w:tcPr>
          <w:p w:rsidR="007658B3" w:rsidRPr="001A1193" w:rsidRDefault="007507A7">
            <w:pPr>
              <w:pStyle w:val="Compact"/>
              <w:rPr>
                <w:sz w:val="18"/>
                <w:szCs w:val="18"/>
              </w:rPr>
            </w:pPr>
            <w:r w:rsidRPr="001A1193">
              <w:rPr>
                <w:sz w:val="18"/>
                <w:szCs w:val="18"/>
              </w:rPr>
              <w:t>21.43 (4.54)</w:t>
            </w:r>
          </w:p>
        </w:tc>
        <w:tc>
          <w:tcPr>
            <w:tcW w:w="0" w:type="auto"/>
          </w:tcPr>
          <w:p w:rsidR="007658B3" w:rsidRPr="001A1193" w:rsidRDefault="007507A7">
            <w:pPr>
              <w:pStyle w:val="Compact"/>
              <w:rPr>
                <w:sz w:val="18"/>
                <w:szCs w:val="18"/>
              </w:rPr>
            </w:pPr>
            <w:r w:rsidRPr="001A1193">
              <w:rPr>
                <w:sz w:val="18"/>
                <w:szCs w:val="18"/>
              </w:rPr>
              <w:t>19.87 (9.29)</w:t>
            </w:r>
          </w:p>
        </w:tc>
        <w:tc>
          <w:tcPr>
            <w:tcW w:w="0" w:type="auto"/>
          </w:tcPr>
          <w:p w:rsidR="007658B3" w:rsidRPr="001A1193" w:rsidRDefault="007507A7">
            <w:pPr>
              <w:pStyle w:val="Compact"/>
              <w:rPr>
                <w:sz w:val="18"/>
                <w:szCs w:val="18"/>
              </w:rPr>
            </w:pPr>
            <w:r w:rsidRPr="001A1193">
              <w:rPr>
                <w:sz w:val="18"/>
                <w:szCs w:val="18"/>
              </w:rPr>
              <w:t>12.67 (12.51)</w:t>
            </w:r>
          </w:p>
        </w:tc>
        <w:tc>
          <w:tcPr>
            <w:tcW w:w="0" w:type="auto"/>
          </w:tcPr>
          <w:p w:rsidR="007658B3" w:rsidRPr="001A1193" w:rsidRDefault="007507A7">
            <w:pPr>
              <w:pStyle w:val="Compact"/>
              <w:rPr>
                <w:sz w:val="18"/>
                <w:szCs w:val="18"/>
              </w:rPr>
            </w:pPr>
            <w:r w:rsidRPr="001A1193">
              <w:rPr>
                <w:sz w:val="18"/>
                <w:szCs w:val="18"/>
              </w:rPr>
              <w:t>3.72 (0.56)</w:t>
            </w:r>
          </w:p>
        </w:tc>
        <w:tc>
          <w:tcPr>
            <w:tcW w:w="0" w:type="auto"/>
          </w:tcPr>
          <w:p w:rsidR="007658B3" w:rsidRPr="001A1193" w:rsidRDefault="007507A7">
            <w:pPr>
              <w:pStyle w:val="Compact"/>
              <w:rPr>
                <w:sz w:val="18"/>
                <w:szCs w:val="18"/>
              </w:rPr>
            </w:pPr>
            <w:r w:rsidRPr="001A1193">
              <w:rPr>
                <w:sz w:val="18"/>
                <w:szCs w:val="18"/>
              </w:rPr>
              <w:t>0.02 (0.14)</w:t>
            </w:r>
          </w:p>
        </w:tc>
      </w:tr>
      <w:tr w:rsidR="007658B3" w:rsidRPr="001A1193">
        <w:tc>
          <w:tcPr>
            <w:tcW w:w="0" w:type="auto"/>
          </w:tcPr>
          <w:p w:rsidR="007658B3" w:rsidRPr="001A1193" w:rsidRDefault="007507A7">
            <w:pPr>
              <w:pStyle w:val="Compact"/>
              <w:rPr>
                <w:sz w:val="18"/>
                <w:szCs w:val="18"/>
              </w:rPr>
            </w:pPr>
            <w:r w:rsidRPr="001A1193">
              <w:rPr>
                <w:sz w:val="18"/>
                <w:szCs w:val="18"/>
              </w:rPr>
              <w:t>Bt2</w:t>
            </w:r>
          </w:p>
        </w:tc>
        <w:tc>
          <w:tcPr>
            <w:tcW w:w="0" w:type="auto"/>
          </w:tcPr>
          <w:p w:rsidR="007658B3" w:rsidRPr="001A1193" w:rsidRDefault="007507A7">
            <w:pPr>
              <w:pStyle w:val="Compact"/>
              <w:rPr>
                <w:sz w:val="18"/>
                <w:szCs w:val="18"/>
              </w:rPr>
            </w:pPr>
            <w:r w:rsidRPr="001A1193">
              <w:rPr>
                <w:sz w:val="18"/>
                <w:szCs w:val="18"/>
              </w:rPr>
              <w:t>25.26 (4.98)</w:t>
            </w:r>
          </w:p>
        </w:tc>
        <w:tc>
          <w:tcPr>
            <w:tcW w:w="0" w:type="auto"/>
          </w:tcPr>
          <w:p w:rsidR="007658B3" w:rsidRPr="001A1193" w:rsidRDefault="007507A7">
            <w:pPr>
              <w:pStyle w:val="Compact"/>
              <w:rPr>
                <w:sz w:val="18"/>
                <w:szCs w:val="18"/>
              </w:rPr>
            </w:pPr>
            <w:r w:rsidRPr="001A1193">
              <w:rPr>
                <w:sz w:val="18"/>
                <w:szCs w:val="18"/>
              </w:rPr>
              <w:t>39.63 (11.27)</w:t>
            </w:r>
          </w:p>
        </w:tc>
        <w:tc>
          <w:tcPr>
            <w:tcW w:w="0" w:type="auto"/>
          </w:tcPr>
          <w:p w:rsidR="007658B3" w:rsidRPr="001A1193" w:rsidRDefault="007507A7">
            <w:pPr>
              <w:pStyle w:val="Compact"/>
              <w:rPr>
                <w:sz w:val="18"/>
                <w:szCs w:val="18"/>
              </w:rPr>
            </w:pPr>
            <w:r w:rsidRPr="001A1193">
              <w:rPr>
                <w:sz w:val="18"/>
                <w:szCs w:val="18"/>
              </w:rPr>
              <w:t>24.27 (21.76)</w:t>
            </w:r>
          </w:p>
        </w:tc>
        <w:tc>
          <w:tcPr>
            <w:tcW w:w="0" w:type="auto"/>
          </w:tcPr>
          <w:p w:rsidR="007658B3" w:rsidRPr="001A1193" w:rsidRDefault="007507A7">
            <w:pPr>
              <w:pStyle w:val="Compact"/>
              <w:rPr>
                <w:sz w:val="18"/>
                <w:szCs w:val="18"/>
              </w:rPr>
            </w:pPr>
            <w:r w:rsidRPr="001A1193">
              <w:rPr>
                <w:sz w:val="18"/>
                <w:szCs w:val="18"/>
              </w:rPr>
              <w:t>4 (0.72)</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Bt3</w:t>
            </w:r>
          </w:p>
        </w:tc>
        <w:tc>
          <w:tcPr>
            <w:tcW w:w="0" w:type="auto"/>
          </w:tcPr>
          <w:p w:rsidR="007658B3" w:rsidRPr="001A1193" w:rsidRDefault="007507A7">
            <w:pPr>
              <w:pStyle w:val="Compact"/>
              <w:rPr>
                <w:sz w:val="18"/>
                <w:szCs w:val="18"/>
              </w:rPr>
            </w:pPr>
            <w:r w:rsidRPr="001A1193">
              <w:rPr>
                <w:sz w:val="18"/>
                <w:szCs w:val="18"/>
              </w:rPr>
              <w:t>28.61 (6.33)</w:t>
            </w:r>
          </w:p>
        </w:tc>
        <w:tc>
          <w:tcPr>
            <w:tcW w:w="0" w:type="auto"/>
          </w:tcPr>
          <w:p w:rsidR="007658B3" w:rsidRPr="001A1193" w:rsidRDefault="007507A7">
            <w:pPr>
              <w:pStyle w:val="Compact"/>
              <w:rPr>
                <w:sz w:val="18"/>
                <w:szCs w:val="18"/>
              </w:rPr>
            </w:pPr>
            <w:r w:rsidRPr="001A1193">
              <w:rPr>
                <w:sz w:val="18"/>
                <w:szCs w:val="18"/>
              </w:rPr>
              <w:t>60.94 (13.56)</w:t>
            </w:r>
          </w:p>
        </w:tc>
        <w:tc>
          <w:tcPr>
            <w:tcW w:w="0" w:type="auto"/>
          </w:tcPr>
          <w:p w:rsidR="007658B3" w:rsidRPr="001A1193" w:rsidRDefault="007507A7">
            <w:pPr>
              <w:pStyle w:val="Compact"/>
              <w:rPr>
                <w:sz w:val="18"/>
                <w:szCs w:val="18"/>
              </w:rPr>
            </w:pPr>
            <w:r w:rsidRPr="001A1193">
              <w:rPr>
                <w:sz w:val="18"/>
                <w:szCs w:val="18"/>
              </w:rPr>
              <w:t>35.02 (23.9)</w:t>
            </w:r>
          </w:p>
        </w:tc>
        <w:tc>
          <w:tcPr>
            <w:tcW w:w="0" w:type="auto"/>
          </w:tcPr>
          <w:p w:rsidR="007658B3" w:rsidRPr="001A1193" w:rsidRDefault="007507A7">
            <w:pPr>
              <w:pStyle w:val="Compact"/>
              <w:rPr>
                <w:sz w:val="18"/>
                <w:szCs w:val="18"/>
              </w:rPr>
            </w:pPr>
            <w:r w:rsidRPr="001A1193">
              <w:rPr>
                <w:sz w:val="18"/>
                <w:szCs w:val="18"/>
              </w:rPr>
              <w:t>4.37 (0.6)</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Cr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76.96 (16.41)</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137 (11.54)</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bl>
    <w:p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p>
    <w:p w:rsidR="007658B3" w:rsidRDefault="00152C18">
      <w:pPr>
        <w:pStyle w:val="Heading2"/>
      </w:pPr>
      <w:bookmarkStart w:id="10" w:name="aggregate-representation-of-ghl"/>
      <w:r>
        <w:t>Probabilistic</w:t>
      </w:r>
      <w:r w:rsidR="007507A7">
        <w:t xml:space="preserve"> Representation of GHL</w:t>
      </w:r>
    </w:p>
    <w:p w:rsidR="00152C18" w:rsidRPr="00152C18" w:rsidRDefault="00152C18" w:rsidP="00152C18"/>
    <w:bookmarkEnd w:id="10"/>
    <w:p w:rsidR="00094A61" w:rsidRDefault="00094A61" w:rsidP="00094A61">
      <w:pPr>
        <w:keepNext/>
      </w:pPr>
      <w:r>
        <w:rPr>
          <w:noProof/>
        </w:rPr>
        <w:lastRenderedPageBreak/>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fldSimple w:instr=" SEQ Figure \* ARABIC ">
        <w:r w:rsidR="00906301">
          <w:rPr>
            <w:noProof/>
          </w:rPr>
          <w:t>4</w:t>
        </w:r>
      </w:fldSimple>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fldSimple w:instr=" SEQ Figure \* ARABIC ">
        <w:r w:rsidR="00906301">
          <w:rPr>
            <w:noProof/>
          </w:rPr>
          <w:t>5</w:t>
        </w:r>
      </w:fldSimple>
      <w:r>
        <w:t xml:space="preserve">. </w:t>
      </w:r>
      <w:r w:rsidRPr="002159F1">
        <w:t>Brier scores and Shannon entropy computed from PO-LR predictions.</w:t>
      </w:r>
    </w:p>
    <w:p w:rsidR="007658B3" w:rsidRDefault="007507A7">
      <w:pPr>
        <w:pStyle w:val="Heading2"/>
      </w:pPr>
      <w:bookmarkStart w:id="11" w:name="model-fit"/>
      <w:r>
        <w:t>Model Fit</w:t>
      </w:r>
      <w:r w:rsidR="00277CC1">
        <w:t xml:space="preserve"> and Stability</w:t>
      </w:r>
    </w:p>
    <w:p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m:t>
        </m:r>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non-linear terms 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 xml:space="preserve">lest in the lower-most horizons </w:t>
      </w:r>
      <w:r w:rsidR="00B541D4">
        <w:rPr>
          <w:rFonts w:eastAsiaTheme="minorEastAsia"/>
          <w:szCs w:val="20"/>
        </w:rPr>
        <w:t>(Figure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 xml:space="preserve">Discrepancies between the two sets of probabilities </w:t>
      </w:r>
      <w:proofErr w:type="gramStart"/>
      <w:r w:rsidR="00CA7572">
        <w:rPr>
          <w:rFonts w:eastAsiaTheme="minorEastAsia"/>
          <w:szCs w:val="20"/>
        </w:rPr>
        <w:t>can be attributed</w:t>
      </w:r>
      <w:proofErr w:type="gramEnd"/>
      <w:r w:rsidR="00CA7572">
        <w:rPr>
          <w:rFonts w:eastAsiaTheme="minorEastAsia"/>
          <w:szCs w:val="20"/>
        </w:rPr>
        <w:t xml:space="preserve"> to two main factors: 1) lack of model fit, and 2) generalization (e.g. smoothing) of empirical probabilities by the PO-LR model.</w:t>
      </w:r>
    </w:p>
    <w:bookmarkEnd w:id="11"/>
    <w:p w:rsidR="00796C60" w:rsidRDefault="00796C60" w:rsidP="00796C60">
      <w:pPr>
        <w:keepNext/>
      </w:pPr>
      <w:r>
        <w:rPr>
          <w:noProof/>
        </w:rPr>
        <w:lastRenderedPageBreak/>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DE0FE9">
      <w:pPr>
        <w:pStyle w:val="Caption"/>
      </w:pPr>
      <w:r>
        <w:t xml:space="preserve">Figure </w:t>
      </w:r>
      <w:fldSimple w:instr=" SEQ Figure \* ARABIC ">
        <w:r w:rsidR="00906301">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E723FF" w:rsidRDefault="00E723FF"/>
    <w:p w:rsidR="00906301" w:rsidRDefault="0090612D" w:rsidP="00E207E2">
      <w:r>
        <w:t xml:space="preserve">The stability of </w:t>
      </w:r>
      <w:proofErr w:type="spellStart"/>
      <w:r>
        <w:t>of</w:t>
      </w:r>
      <w:proofErr w:type="spellEnd"/>
      <w:r>
        <w:t xml:space="preserve"> the PO-LR model </w:t>
      </w:r>
      <w:proofErr w:type="gramStart"/>
      <w:r>
        <w:t>was evaluated</w:t>
      </w:r>
      <w:proofErr w:type="gramEnd"/>
      <w:r>
        <w:t xml:space="preserve"> by iteratively re-fitting the model (</w:t>
      </w:r>
      <w:r>
        <w:t xml:space="preserve">250 </w:t>
      </w:r>
      <w:r>
        <w:t xml:space="preserve">times) using a random subset of 25 </w:t>
      </w:r>
      <w:proofErr w:type="spellStart"/>
      <w:r>
        <w:t>pedons</w:t>
      </w:r>
      <w:proofErr w:type="spellEnd"/>
      <w:r>
        <w:t xml:space="preserve"> (out of 54 total) within each iteration. The predictions from each iteration </w:t>
      </w:r>
      <w:proofErr w:type="gramStart"/>
      <w:r>
        <w:t>are presented</w:t>
      </w:r>
      <w:proofErr w:type="gramEnd"/>
      <w:r>
        <w:t xml:space="preserve">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fldSimple w:instr=" SEQ Figure \* ARABIC ">
        <w:r>
          <w:rPr>
            <w:noProof/>
          </w:rPr>
          <w:t>7</w:t>
        </w:r>
      </w:fldSimple>
      <w:r>
        <w:t xml:space="preserve">. </w:t>
      </w:r>
      <w:r w:rsidRPr="00BA53AD">
        <w:t>Predicted GHL probability depth-functions from 250 iterations of model fitting, based on a reduced training dataset.</w:t>
      </w:r>
      <w:r w:rsidR="005C4F3F">
        <w:t xml:space="preserve"> Dashed lines are predictions from the full model.</w:t>
      </w:r>
    </w:p>
    <w:p w:rsidR="00E207E2" w:rsidRDefault="00E207E2" w:rsidP="00E207E2">
      <w:pPr>
        <w:pStyle w:val="Heading2"/>
      </w:pPr>
      <w:bookmarkStart w:id="12" w:name="conclusions"/>
      <w:bookmarkStart w:id="13" w:name="ml-horizon-boundaries"/>
      <w:r>
        <w:lastRenderedPageBreak/>
        <w:t>ML Horizon Depths</w:t>
      </w:r>
    </w:p>
    <w:p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w:t>
      </w:r>
      <w:proofErr w:type="gramStart"/>
      <w:r>
        <w:t>can be simplified</w:t>
      </w:r>
      <w:proofErr w:type="gramEnd"/>
      <w:r>
        <w:t xml:space="preserve"> into a format that is more familiar to users of existing soil survey products. </w:t>
      </w:r>
      <w:r w:rsidR="008A236A">
        <w:t>ML horizon depths could also serve as a template by which aggregate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E207E2" w:rsidRPr="008558C6" w:rsidTr="001237A5">
        <w:tc>
          <w:tcPr>
            <w:tcW w:w="2322" w:type="dxa"/>
            <w:gridSpan w:val="3"/>
            <w:tcBorders>
              <w:bottom w:val="single" w:sz="0" w:space="0" w:color="auto"/>
            </w:tcBorders>
            <w:vAlign w:val="bottom"/>
          </w:tcPr>
          <w:p w:rsidR="00E207E2" w:rsidRPr="008558C6" w:rsidRDefault="00E207E2" w:rsidP="001237A5">
            <w:pPr>
              <w:pStyle w:val="Compact"/>
              <w:rPr>
                <w:sz w:val="18"/>
                <w:szCs w:val="18"/>
              </w:rPr>
            </w:pPr>
            <w:r>
              <w:rPr>
                <w:sz w:val="18"/>
                <w:szCs w:val="18"/>
              </w:rPr>
              <w:t>Empirical Probabilities</w:t>
            </w:r>
          </w:p>
        </w:tc>
        <w:tc>
          <w:tcPr>
            <w:tcW w:w="288" w:type="dxa"/>
            <w:tcBorders>
              <w:bottom w:val="single" w:sz="0" w:space="0" w:color="auto"/>
            </w:tcBorders>
            <w:vAlign w:val="bottom"/>
          </w:tcPr>
          <w:p w:rsidR="00E207E2" w:rsidRPr="008558C6" w:rsidRDefault="00E207E2" w:rsidP="001237A5">
            <w:pPr>
              <w:pStyle w:val="Compact"/>
              <w:jc w:val="right"/>
              <w:rPr>
                <w:sz w:val="18"/>
                <w:szCs w:val="18"/>
              </w:rPr>
            </w:pP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p>
        </w:tc>
        <w:tc>
          <w:tcPr>
            <w:tcW w:w="2160" w:type="dxa"/>
            <w:tcBorders>
              <w:bottom w:val="single" w:sz="0" w:space="0" w:color="auto"/>
            </w:tcBorders>
            <w:vAlign w:val="bottom"/>
          </w:tcPr>
          <w:p w:rsidR="00E207E2" w:rsidRPr="008558C6" w:rsidRDefault="00E207E2" w:rsidP="001237A5">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rsidR="00E207E2" w:rsidRPr="008558C6" w:rsidRDefault="00E207E2" w:rsidP="001237A5">
            <w:pPr>
              <w:pStyle w:val="Compact"/>
              <w:jc w:val="right"/>
              <w:rPr>
                <w:sz w:val="18"/>
                <w:szCs w:val="18"/>
              </w:rPr>
            </w:pP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p>
        </w:tc>
      </w:tr>
      <w:bookmarkEnd w:id="13"/>
      <w:tr w:rsidR="00E207E2" w:rsidRPr="008558C6" w:rsidTr="001237A5">
        <w:tc>
          <w:tcPr>
            <w:tcW w:w="1081"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c>
          <w:tcPr>
            <w:tcW w:w="2160"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857"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946" w:type="dxa"/>
            <w:gridSpan w:val="2"/>
          </w:tcPr>
          <w:p w:rsidR="00E207E2" w:rsidRPr="008558C6" w:rsidRDefault="00E207E2" w:rsidP="001237A5">
            <w:pPr>
              <w:pStyle w:val="Compact"/>
              <w:jc w:val="right"/>
              <w:rPr>
                <w:sz w:val="18"/>
                <w:szCs w:val="18"/>
              </w:rPr>
            </w:pPr>
            <w:r w:rsidRPr="008558C6">
              <w:rPr>
                <w:sz w:val="18"/>
                <w:szCs w:val="18"/>
              </w:rPr>
              <w:t>8</w:t>
            </w:r>
          </w:p>
        </w:tc>
        <w:tc>
          <w:tcPr>
            <w:tcW w:w="1260" w:type="dxa"/>
          </w:tcPr>
          <w:p w:rsidR="00E207E2" w:rsidRPr="008558C6" w:rsidRDefault="00E207E2" w:rsidP="001237A5">
            <w:pPr>
              <w:pStyle w:val="Compact"/>
              <w:jc w:val="right"/>
              <w:rPr>
                <w:sz w:val="18"/>
                <w:szCs w:val="18"/>
              </w:rPr>
            </w:pPr>
            <w:r w:rsidRPr="008558C6">
              <w:rPr>
                <w:sz w:val="18"/>
                <w:szCs w:val="18"/>
              </w:rPr>
              <w:t>0.20</w:t>
            </w:r>
          </w:p>
        </w:tc>
        <w:tc>
          <w:tcPr>
            <w:tcW w:w="2160"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857" w:type="dxa"/>
          </w:tcPr>
          <w:p w:rsidR="00E207E2" w:rsidRPr="008558C6" w:rsidRDefault="00E207E2" w:rsidP="001237A5">
            <w:pPr>
              <w:pStyle w:val="Compact"/>
              <w:jc w:val="right"/>
              <w:rPr>
                <w:sz w:val="18"/>
                <w:szCs w:val="18"/>
              </w:rPr>
            </w:pPr>
            <w:r w:rsidRPr="008558C6">
              <w:rPr>
                <w:sz w:val="18"/>
                <w:szCs w:val="18"/>
              </w:rPr>
              <w:t>9</w:t>
            </w:r>
          </w:p>
        </w:tc>
        <w:tc>
          <w:tcPr>
            <w:tcW w:w="630" w:type="dxa"/>
          </w:tcPr>
          <w:p w:rsidR="00E207E2" w:rsidRPr="008558C6" w:rsidRDefault="00E207E2" w:rsidP="001237A5">
            <w:pPr>
              <w:pStyle w:val="Compact"/>
              <w:jc w:val="right"/>
              <w:rPr>
                <w:sz w:val="18"/>
                <w:szCs w:val="18"/>
              </w:rPr>
            </w:pPr>
            <w:r w:rsidRPr="008558C6">
              <w:rPr>
                <w:sz w:val="18"/>
                <w:szCs w:val="18"/>
              </w:rPr>
              <w:t>0.26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8</w:t>
            </w:r>
          </w:p>
        </w:tc>
        <w:tc>
          <w:tcPr>
            <w:tcW w:w="946" w:type="dxa"/>
            <w:gridSpan w:val="2"/>
          </w:tcPr>
          <w:p w:rsidR="00E207E2" w:rsidRPr="008558C6" w:rsidRDefault="00E207E2" w:rsidP="001237A5">
            <w:pPr>
              <w:pStyle w:val="Compact"/>
              <w:jc w:val="right"/>
              <w:rPr>
                <w:sz w:val="18"/>
                <w:szCs w:val="18"/>
              </w:rPr>
            </w:pPr>
            <w:r w:rsidRPr="008558C6">
              <w:rPr>
                <w:sz w:val="18"/>
                <w:szCs w:val="18"/>
              </w:rPr>
              <w:t>28</w:t>
            </w:r>
          </w:p>
        </w:tc>
        <w:tc>
          <w:tcPr>
            <w:tcW w:w="1260" w:type="dxa"/>
          </w:tcPr>
          <w:p w:rsidR="00E207E2" w:rsidRPr="008558C6" w:rsidRDefault="00E207E2" w:rsidP="001237A5">
            <w:pPr>
              <w:pStyle w:val="Compact"/>
              <w:jc w:val="right"/>
              <w:rPr>
                <w:sz w:val="18"/>
                <w:szCs w:val="18"/>
              </w:rPr>
            </w:pPr>
            <w:r w:rsidRPr="008558C6">
              <w:rPr>
                <w:sz w:val="18"/>
                <w:szCs w:val="18"/>
              </w:rPr>
              <w:t>0.23</w:t>
            </w:r>
          </w:p>
        </w:tc>
        <w:tc>
          <w:tcPr>
            <w:tcW w:w="2160"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9</w:t>
            </w:r>
          </w:p>
        </w:tc>
        <w:tc>
          <w:tcPr>
            <w:tcW w:w="857" w:type="dxa"/>
          </w:tcPr>
          <w:p w:rsidR="00E207E2" w:rsidRPr="008558C6" w:rsidRDefault="00E207E2" w:rsidP="001237A5">
            <w:pPr>
              <w:pStyle w:val="Compact"/>
              <w:jc w:val="right"/>
              <w:rPr>
                <w:sz w:val="18"/>
                <w:szCs w:val="18"/>
              </w:rPr>
            </w:pPr>
            <w:r w:rsidRPr="008558C6">
              <w:rPr>
                <w:sz w:val="18"/>
                <w:szCs w:val="18"/>
              </w:rPr>
              <w:t>28</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946" w:type="dxa"/>
            <w:gridSpan w:val="2"/>
          </w:tcPr>
          <w:p w:rsidR="00E207E2" w:rsidRPr="008558C6" w:rsidRDefault="00E207E2" w:rsidP="001237A5">
            <w:pPr>
              <w:pStyle w:val="Compact"/>
              <w:jc w:val="right"/>
              <w:rPr>
                <w:sz w:val="18"/>
                <w:szCs w:val="18"/>
              </w:rPr>
            </w:pPr>
            <w:r w:rsidRPr="008558C6">
              <w:rPr>
                <w:sz w:val="18"/>
                <w:szCs w:val="18"/>
              </w:rPr>
              <w:t>51</w:t>
            </w:r>
          </w:p>
        </w:tc>
        <w:tc>
          <w:tcPr>
            <w:tcW w:w="1260" w:type="dxa"/>
          </w:tcPr>
          <w:p w:rsidR="00E207E2" w:rsidRPr="008558C6" w:rsidRDefault="00E207E2" w:rsidP="001237A5">
            <w:pPr>
              <w:pStyle w:val="Compact"/>
              <w:jc w:val="right"/>
              <w:rPr>
                <w:sz w:val="18"/>
                <w:szCs w:val="18"/>
              </w:rPr>
            </w:pPr>
            <w:r w:rsidRPr="008558C6">
              <w:rPr>
                <w:sz w:val="18"/>
                <w:szCs w:val="18"/>
              </w:rPr>
              <w:t>0.25</w:t>
            </w:r>
          </w:p>
        </w:tc>
        <w:tc>
          <w:tcPr>
            <w:tcW w:w="2160"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857" w:type="dxa"/>
          </w:tcPr>
          <w:p w:rsidR="00E207E2" w:rsidRPr="008558C6" w:rsidRDefault="00E207E2" w:rsidP="001237A5">
            <w:pPr>
              <w:pStyle w:val="Compact"/>
              <w:jc w:val="right"/>
              <w:rPr>
                <w:sz w:val="18"/>
                <w:szCs w:val="18"/>
              </w:rPr>
            </w:pPr>
            <w:r w:rsidRPr="008558C6">
              <w:rPr>
                <w:sz w:val="18"/>
                <w:szCs w:val="18"/>
              </w:rPr>
              <w:t>50</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51</w:t>
            </w:r>
          </w:p>
        </w:tc>
        <w:tc>
          <w:tcPr>
            <w:tcW w:w="946" w:type="dxa"/>
            <w:gridSpan w:val="2"/>
          </w:tcPr>
          <w:p w:rsidR="00E207E2" w:rsidRPr="008558C6" w:rsidRDefault="00E207E2" w:rsidP="001237A5">
            <w:pPr>
              <w:pStyle w:val="Compact"/>
              <w:jc w:val="right"/>
              <w:rPr>
                <w:sz w:val="18"/>
                <w:szCs w:val="18"/>
              </w:rPr>
            </w:pPr>
            <w:r w:rsidRPr="008558C6">
              <w:rPr>
                <w:sz w:val="18"/>
                <w:szCs w:val="18"/>
              </w:rPr>
              <w:t>68</w:t>
            </w:r>
          </w:p>
        </w:tc>
        <w:tc>
          <w:tcPr>
            <w:tcW w:w="1260" w:type="dxa"/>
          </w:tcPr>
          <w:p w:rsidR="00E207E2" w:rsidRPr="008558C6" w:rsidRDefault="00E207E2" w:rsidP="001237A5">
            <w:pPr>
              <w:pStyle w:val="Compact"/>
              <w:jc w:val="right"/>
              <w:rPr>
                <w:sz w:val="18"/>
                <w:szCs w:val="18"/>
              </w:rPr>
            </w:pPr>
            <w:r w:rsidRPr="008558C6">
              <w:rPr>
                <w:sz w:val="18"/>
                <w:szCs w:val="18"/>
              </w:rPr>
              <w:t>0.44</w:t>
            </w:r>
          </w:p>
        </w:tc>
        <w:tc>
          <w:tcPr>
            <w:tcW w:w="2160"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50</w:t>
            </w:r>
          </w:p>
        </w:tc>
        <w:tc>
          <w:tcPr>
            <w:tcW w:w="857" w:type="dxa"/>
          </w:tcPr>
          <w:p w:rsidR="00E207E2" w:rsidRPr="008558C6" w:rsidRDefault="00E207E2" w:rsidP="001237A5">
            <w:pPr>
              <w:pStyle w:val="Compact"/>
              <w:jc w:val="right"/>
              <w:rPr>
                <w:sz w:val="18"/>
                <w:szCs w:val="18"/>
              </w:rPr>
            </w:pPr>
            <w:r w:rsidRPr="008558C6">
              <w:rPr>
                <w:sz w:val="18"/>
                <w:szCs w:val="18"/>
              </w:rPr>
              <w:t>67</w:t>
            </w:r>
          </w:p>
        </w:tc>
        <w:tc>
          <w:tcPr>
            <w:tcW w:w="630" w:type="dxa"/>
          </w:tcPr>
          <w:p w:rsidR="00E207E2" w:rsidRPr="008558C6" w:rsidRDefault="00E207E2" w:rsidP="001237A5">
            <w:pPr>
              <w:pStyle w:val="Compact"/>
              <w:jc w:val="right"/>
              <w:rPr>
                <w:sz w:val="18"/>
                <w:szCs w:val="18"/>
              </w:rPr>
            </w:pPr>
            <w:r w:rsidRPr="008558C6">
              <w:rPr>
                <w:sz w:val="18"/>
                <w:szCs w:val="18"/>
              </w:rPr>
              <w:t>0.39</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68</w:t>
            </w:r>
          </w:p>
        </w:tc>
        <w:tc>
          <w:tcPr>
            <w:tcW w:w="946" w:type="dxa"/>
            <w:gridSpan w:val="2"/>
          </w:tcPr>
          <w:p w:rsidR="00E207E2" w:rsidRPr="008558C6" w:rsidRDefault="00E207E2" w:rsidP="001237A5">
            <w:pPr>
              <w:pStyle w:val="Compact"/>
              <w:jc w:val="right"/>
              <w:rPr>
                <w:sz w:val="18"/>
                <w:szCs w:val="18"/>
              </w:rPr>
            </w:pPr>
            <w:r w:rsidRPr="008558C6">
              <w:rPr>
                <w:sz w:val="18"/>
                <w:szCs w:val="18"/>
              </w:rPr>
              <w:t>90</w:t>
            </w:r>
          </w:p>
        </w:tc>
        <w:tc>
          <w:tcPr>
            <w:tcW w:w="1260" w:type="dxa"/>
          </w:tcPr>
          <w:p w:rsidR="00E207E2" w:rsidRPr="008558C6" w:rsidRDefault="00E207E2" w:rsidP="001237A5">
            <w:pPr>
              <w:pStyle w:val="Compact"/>
              <w:jc w:val="right"/>
              <w:rPr>
                <w:sz w:val="18"/>
                <w:szCs w:val="18"/>
              </w:rPr>
            </w:pPr>
            <w:r w:rsidRPr="008558C6">
              <w:rPr>
                <w:sz w:val="18"/>
                <w:szCs w:val="18"/>
              </w:rPr>
              <w:t>0.36</w:t>
            </w:r>
          </w:p>
        </w:tc>
        <w:tc>
          <w:tcPr>
            <w:tcW w:w="2160"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67</w:t>
            </w:r>
          </w:p>
        </w:tc>
        <w:tc>
          <w:tcPr>
            <w:tcW w:w="857" w:type="dxa"/>
          </w:tcPr>
          <w:p w:rsidR="00E207E2" w:rsidRPr="008558C6" w:rsidRDefault="00E207E2" w:rsidP="001237A5">
            <w:pPr>
              <w:pStyle w:val="Compact"/>
              <w:jc w:val="right"/>
              <w:rPr>
                <w:sz w:val="18"/>
                <w:szCs w:val="18"/>
              </w:rPr>
            </w:pPr>
            <w:r w:rsidRPr="008558C6">
              <w:rPr>
                <w:sz w:val="18"/>
                <w:szCs w:val="18"/>
              </w:rPr>
              <w:t>91</w:t>
            </w:r>
          </w:p>
        </w:tc>
        <w:tc>
          <w:tcPr>
            <w:tcW w:w="630" w:type="dxa"/>
          </w:tcPr>
          <w:p w:rsidR="00E207E2" w:rsidRPr="008558C6" w:rsidRDefault="00E207E2" w:rsidP="001237A5">
            <w:pPr>
              <w:pStyle w:val="Compact"/>
              <w:jc w:val="right"/>
              <w:rPr>
                <w:sz w:val="18"/>
                <w:szCs w:val="18"/>
              </w:rPr>
            </w:pPr>
            <w:r w:rsidRPr="008558C6">
              <w:rPr>
                <w:sz w:val="18"/>
                <w:szCs w:val="18"/>
              </w:rPr>
              <w:t>0.36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90</w:t>
            </w:r>
          </w:p>
        </w:tc>
        <w:tc>
          <w:tcPr>
            <w:tcW w:w="946" w:type="dxa"/>
            <w:gridSpan w:val="2"/>
          </w:tcPr>
          <w:p w:rsidR="00E207E2" w:rsidRPr="008558C6" w:rsidRDefault="00E207E2" w:rsidP="001237A5">
            <w:pPr>
              <w:pStyle w:val="Compact"/>
              <w:jc w:val="right"/>
              <w:rPr>
                <w:sz w:val="18"/>
                <w:szCs w:val="18"/>
              </w:rPr>
            </w:pPr>
            <w:r w:rsidRPr="008558C6">
              <w:rPr>
                <w:sz w:val="18"/>
                <w:szCs w:val="18"/>
              </w:rPr>
              <w:t>203</w:t>
            </w:r>
          </w:p>
        </w:tc>
        <w:tc>
          <w:tcPr>
            <w:tcW w:w="1260" w:type="dxa"/>
          </w:tcPr>
          <w:p w:rsidR="00E207E2" w:rsidRPr="008558C6" w:rsidRDefault="00E207E2" w:rsidP="001237A5">
            <w:pPr>
              <w:pStyle w:val="Compact"/>
              <w:jc w:val="right"/>
              <w:rPr>
                <w:sz w:val="18"/>
                <w:szCs w:val="18"/>
              </w:rPr>
            </w:pPr>
            <w:r w:rsidRPr="008558C6">
              <w:rPr>
                <w:sz w:val="18"/>
                <w:szCs w:val="18"/>
              </w:rPr>
              <w:t>0.05</w:t>
            </w:r>
          </w:p>
        </w:tc>
        <w:tc>
          <w:tcPr>
            <w:tcW w:w="2160"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91</w:t>
            </w:r>
          </w:p>
        </w:tc>
        <w:tc>
          <w:tcPr>
            <w:tcW w:w="857" w:type="dxa"/>
          </w:tcPr>
          <w:p w:rsidR="00E207E2" w:rsidRPr="008558C6" w:rsidRDefault="00E207E2" w:rsidP="001237A5">
            <w:pPr>
              <w:pStyle w:val="Compact"/>
              <w:jc w:val="right"/>
              <w:rPr>
                <w:sz w:val="18"/>
                <w:szCs w:val="18"/>
              </w:rPr>
            </w:pPr>
            <w:r w:rsidRPr="008558C6">
              <w:rPr>
                <w:sz w:val="18"/>
                <w:szCs w:val="18"/>
              </w:rPr>
              <w:t>151</w:t>
            </w:r>
          </w:p>
        </w:tc>
        <w:tc>
          <w:tcPr>
            <w:tcW w:w="630" w:type="dxa"/>
          </w:tcPr>
          <w:p w:rsidR="00E207E2" w:rsidRPr="008558C6" w:rsidRDefault="00E207E2" w:rsidP="001237A5">
            <w:pPr>
              <w:pStyle w:val="Compact"/>
              <w:jc w:val="right"/>
              <w:rPr>
                <w:sz w:val="18"/>
                <w:szCs w:val="18"/>
              </w:rPr>
            </w:pPr>
            <w:r w:rsidRPr="008558C6">
              <w:rPr>
                <w:sz w:val="18"/>
                <w:szCs w:val="18"/>
              </w:rPr>
              <w:t>0.08</w:t>
            </w:r>
          </w:p>
        </w:tc>
      </w:tr>
    </w:tbl>
    <w:p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Most-likely GHL boundary depths and associated Brier scores, computed from empirical probabilities and PO-LR predictions.</w:t>
      </w:r>
    </w:p>
    <w:p w:rsidR="007658B3" w:rsidRDefault="007507A7">
      <w:pPr>
        <w:pStyle w:val="Heading1"/>
      </w:pPr>
      <w:r>
        <w:t>Conclusions</w:t>
      </w:r>
    </w:p>
    <w:bookmarkEnd w:id="12"/>
    <w:p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w:t>
      </w:r>
      <w:proofErr w:type="gramStart"/>
      <w:r>
        <w:t>profile which</w:t>
      </w:r>
      <w:proofErr w:type="gramEnd"/>
      <w:r>
        <w:t xml:space="preserve">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roofErr w:type="gramStart"/>
      <w:r>
        <w:t>.....</w:t>
      </w:r>
      <w:proofErr w:type="gramEnd"/>
    </w:p>
    <w:p w:rsidR="007658B3" w:rsidRDefault="007507A7">
      <w:r>
        <w:t>Ideas for the conclusion.....the ideas presented in this paper regarding modeling horizon depth probabilities are helping to bridge the soil profile/horizonation concept that is are our existing '</w:t>
      </w:r>
      <w:proofErr w:type="spellStart"/>
      <w:r>
        <w:t>pedological</w:t>
      </w:r>
      <w:proofErr w:type="spellEnd"/>
      <w:r>
        <w:t xml:space="preserve">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lastRenderedPageBreak/>
        <w:t xml:space="preserve">variability between descriptions </w:t>
      </w:r>
      <w:r>
        <w:rPr>
          <w:b/>
        </w:rPr>
        <w:t>smoothed</w:t>
      </w:r>
      <w:r>
        <w:t xml:space="preserve"> as sample size increases</w:t>
      </w:r>
      <w:r w:rsidR="00DF6761">
        <w:t>—</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Heading2"/>
      </w:pPr>
      <w:bookmarkStart w:id="14" w:name="future-work"/>
      <w:bookmarkStart w:id="15" w:name="_GoBack"/>
      <w:bookmarkEnd w:id="15"/>
      <w:r>
        <w:t>Future Work</w:t>
      </w:r>
    </w:p>
    <w:bookmarkEnd w:id="14"/>
    <w:p w:rsidR="00B4490B" w:rsidRDefault="00B4490B" w:rsidP="00B4490B">
      <w:pPr>
        <w:pStyle w:val="Compact"/>
      </w:pPr>
      <w:r>
        <w:t xml:space="preserve">The methods presented in this chapter represent the first steps towards a </w:t>
      </w:r>
      <w:r w:rsidR="00687C45">
        <w:t>quantitative</w:t>
      </w:r>
      <w:r>
        <w:t xml:space="preserve"> description of soils 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correlation structure into the PO-LR model </w:t>
      </w:r>
      <w:r w:rsidR="000959E6">
        <w:t xml:space="preserve">to support </w:t>
      </w:r>
      <w:proofErr w:type="gramStart"/>
      <w:r w:rsidR="00687C45">
        <w:t xml:space="preserve">more realistic estimates </w:t>
      </w:r>
      <w:r w:rsidR="000959E6">
        <w:t>of coefficient standard errors</w:t>
      </w:r>
      <w:proofErr w:type="gramEnd"/>
      <w:r w:rsidR="00687C45">
        <w:t>.</w:t>
      </w:r>
    </w:p>
    <w:p w:rsidR="007658B3" w:rsidRDefault="007507A7">
      <w:pPr>
        <w:pStyle w:val="Heading1"/>
      </w:pPr>
      <w:bookmarkStart w:id="16" w:name="references"/>
      <w:r>
        <w:t>References</w:t>
      </w:r>
    </w:p>
    <w:bookmarkEnd w:id="16"/>
    <w:p w:rsidR="007658B3" w:rsidRDefault="007507A7">
      <w:r>
        <w:t xml:space="preserve">Beaudette, D.E., and J.M. Skovlin. 2015. </w:t>
      </w:r>
      <w:proofErr w:type="gramStart"/>
      <w:r>
        <w:rPr>
          <w:i/>
        </w:rPr>
        <w:t>soilDB</w:t>
      </w:r>
      <w:proofErr w:type="gramEnd"/>
      <w:r>
        <w:rPr>
          <w:i/>
        </w:rPr>
        <w:t>: Soil Database Interface</w:t>
      </w:r>
      <w:r>
        <w:t xml:space="preserve">. </w:t>
      </w:r>
      <w:hyperlink r:id="rId14">
        <w:r>
          <w:rPr>
            <w:rStyle w:val="Link"/>
          </w:rPr>
          <w:t>http://CRAN.R-project.org/package=soilDB</w:t>
        </w:r>
      </w:hyperlink>
      <w:r>
        <w:t>.</w:t>
      </w:r>
    </w:p>
    <w:p w:rsidR="007658B3" w:rsidRDefault="007507A7">
      <w:r>
        <w:t xml:space="preserve">Beaudette, D.E., P. Roudier, and </w:t>
      </w:r>
      <w:proofErr w:type="spellStart"/>
      <w:r>
        <w:t>O’GeenA.T</w:t>
      </w:r>
      <w:proofErr w:type="spellEnd"/>
      <w:r>
        <w:t xml:space="preserve">.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5">
        <w:r>
          <w:rPr>
            <w:rStyle w:val="Link"/>
          </w:rPr>
          <w:t>http</w:t>
        </w:r>
        <w:proofErr w:type="spellEnd"/>
        <w:r>
          <w:rPr>
            <w:rStyle w:val="Link"/>
          </w:rPr>
          <w:t>://dx.doi.org/10.1016/j.geoderma.2014.03.008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7">
        <w:r>
          <w:rPr>
            <w:rStyle w:val="Link"/>
          </w:rPr>
          <w:t>http</w:t>
        </w:r>
        <w:proofErr w:type="spellEnd"/>
        <w:r>
          <w:rPr>
            <w:rStyle w:val="Link"/>
          </w:rPr>
          <w:t>://dx.doi.org/10.1016/j.geoderma.2011.01.010</w:t>
        </w:r>
      </w:hyperlink>
      <w:r>
        <w:t xml:space="preserve">. </w:t>
      </w:r>
      <w:hyperlink r:id="rId18">
        <w:r>
          <w:rPr>
            <w:rStyle w:val="Link"/>
          </w:rPr>
          <w:t>http://www.sciencedirect.com/science/article/pii/S001670611100019X</w:t>
        </w:r>
      </w:hyperlink>
      <w:r>
        <w:t>.</w:t>
      </w:r>
    </w:p>
    <w:p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19">
        <w:r>
          <w:rPr>
            <w:rStyle w:val="Link"/>
          </w:rPr>
          <w:t>10.1016/j.geoderma.2009.04.023</w:t>
        </w:r>
      </w:hyperlink>
      <w:r>
        <w:t>.</w:t>
      </w:r>
    </w:p>
    <w:p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rsidR="007658B3" w:rsidRDefault="007507A7">
      <w:r>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lastRenderedPageBreak/>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66821"/>
    <w:rsid w:val="00094A61"/>
    <w:rsid w:val="000959E6"/>
    <w:rsid w:val="000B1128"/>
    <w:rsid w:val="000C64A6"/>
    <w:rsid w:val="000D1396"/>
    <w:rsid w:val="000E0518"/>
    <w:rsid w:val="001524D8"/>
    <w:rsid w:val="00152C18"/>
    <w:rsid w:val="001A1193"/>
    <w:rsid w:val="001A5DCB"/>
    <w:rsid w:val="00217805"/>
    <w:rsid w:val="00230CB8"/>
    <w:rsid w:val="0023134B"/>
    <w:rsid w:val="002674DC"/>
    <w:rsid w:val="00277CC1"/>
    <w:rsid w:val="00331A6A"/>
    <w:rsid w:val="00355B46"/>
    <w:rsid w:val="003B2468"/>
    <w:rsid w:val="003F12A2"/>
    <w:rsid w:val="004148E3"/>
    <w:rsid w:val="00461DE9"/>
    <w:rsid w:val="00480EEB"/>
    <w:rsid w:val="0049459A"/>
    <w:rsid w:val="004A6618"/>
    <w:rsid w:val="004E29B3"/>
    <w:rsid w:val="004F5669"/>
    <w:rsid w:val="00517569"/>
    <w:rsid w:val="00553FAD"/>
    <w:rsid w:val="005660D2"/>
    <w:rsid w:val="00590D07"/>
    <w:rsid w:val="005C4F3F"/>
    <w:rsid w:val="005D2E3F"/>
    <w:rsid w:val="005D5D60"/>
    <w:rsid w:val="00636627"/>
    <w:rsid w:val="006575B5"/>
    <w:rsid w:val="00676AE2"/>
    <w:rsid w:val="00681476"/>
    <w:rsid w:val="0068355D"/>
    <w:rsid w:val="00687C45"/>
    <w:rsid w:val="0069459D"/>
    <w:rsid w:val="006A09FA"/>
    <w:rsid w:val="006A35D8"/>
    <w:rsid w:val="006B6C9A"/>
    <w:rsid w:val="006C3B0D"/>
    <w:rsid w:val="006D2E06"/>
    <w:rsid w:val="006E0E5B"/>
    <w:rsid w:val="006E1EE5"/>
    <w:rsid w:val="007507A7"/>
    <w:rsid w:val="00765856"/>
    <w:rsid w:val="007658B3"/>
    <w:rsid w:val="00784D58"/>
    <w:rsid w:val="00796C60"/>
    <w:rsid w:val="008345B5"/>
    <w:rsid w:val="00847AA1"/>
    <w:rsid w:val="008558C6"/>
    <w:rsid w:val="00861269"/>
    <w:rsid w:val="008A236A"/>
    <w:rsid w:val="008B18A6"/>
    <w:rsid w:val="008D6863"/>
    <w:rsid w:val="00905B73"/>
    <w:rsid w:val="0090612D"/>
    <w:rsid w:val="00906301"/>
    <w:rsid w:val="00944612"/>
    <w:rsid w:val="00952233"/>
    <w:rsid w:val="009B46A2"/>
    <w:rsid w:val="009F15C9"/>
    <w:rsid w:val="00A1661F"/>
    <w:rsid w:val="00A43A4A"/>
    <w:rsid w:val="00A46D8C"/>
    <w:rsid w:val="00AA08A7"/>
    <w:rsid w:val="00AC38E7"/>
    <w:rsid w:val="00AF0697"/>
    <w:rsid w:val="00B37737"/>
    <w:rsid w:val="00B4490B"/>
    <w:rsid w:val="00B541D4"/>
    <w:rsid w:val="00B737E5"/>
    <w:rsid w:val="00B7662B"/>
    <w:rsid w:val="00B86B75"/>
    <w:rsid w:val="00B91E5C"/>
    <w:rsid w:val="00BC48D5"/>
    <w:rsid w:val="00BE25F0"/>
    <w:rsid w:val="00C0253E"/>
    <w:rsid w:val="00C236B5"/>
    <w:rsid w:val="00C36279"/>
    <w:rsid w:val="00C773F5"/>
    <w:rsid w:val="00C8571A"/>
    <w:rsid w:val="00C96CE0"/>
    <w:rsid w:val="00CA7572"/>
    <w:rsid w:val="00D1168D"/>
    <w:rsid w:val="00D16CD9"/>
    <w:rsid w:val="00D6341B"/>
    <w:rsid w:val="00D92973"/>
    <w:rsid w:val="00D93D2F"/>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E6E15"/>
    <w:rsid w:val="00EF4F02"/>
    <w:rsid w:val="00F12B06"/>
    <w:rsid w:val="00F15AE6"/>
    <w:rsid w:val="00F700A5"/>
    <w:rsid w:val="00F71E81"/>
    <w:rsid w:val="00FC6F8A"/>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105</cp:revision>
  <dcterms:created xsi:type="dcterms:W3CDTF">2015-08-03T22:50:00Z</dcterms:created>
  <dcterms:modified xsi:type="dcterms:W3CDTF">2015-08-07T23:16:00Z</dcterms:modified>
</cp:coreProperties>
</file>