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w:t>
      </w:r>
      <w:bookmarkStart w:id="1" w:name="_GoBack"/>
      <w:bookmarkEnd w:id="1"/>
      <w:r>
        <w:t xml:space="preserve">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2" w:name="introduction"/>
      <w:r>
        <w:t>Introduction</w:t>
      </w:r>
    </w:p>
    <w:bookmarkEnd w:id="2"/>
    <w:p w:rsidR="007658B3" w:rsidRDefault="007507A7">
      <w:r>
        <w:t xml:space="preserve">Published soil survey reports typically describe soils in terms of </w:t>
      </w:r>
      <w:r>
        <w:rPr>
          <w:i/>
        </w:rPr>
        <w:t>aggregate</w:t>
      </w:r>
      <w:r>
        <w:t xml:space="preserve"> information, </w:t>
      </w:r>
      <w:r>
        <w:rPr>
          <w:i/>
        </w:rPr>
        <w:t>ie</w:t>
      </w:r>
      <w:r>
        <w:t xml:space="preserve"> soil properties, interpretations, and limitations that are based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7658B3" w:rsidRDefault="007507A7">
      <w:r>
        <w:t>The "modal pedon" concept ... not ideal, but widely used:</w:t>
      </w:r>
    </w:p>
    <w:p w:rsidR="007658B3" w:rsidRDefault="007507A7">
      <w:pPr>
        <w:numPr>
          <w:ilvl w:val="0"/>
          <w:numId w:val="2"/>
        </w:numPr>
      </w:pPr>
      <w:r>
        <w:t>problems</w:t>
      </w:r>
      <w:r w:rsidR="006B6C9A">
        <w:t xml:space="preserve"> with the modal concept (Hudson, </w:t>
      </w:r>
      <w:r>
        <w:t>1990)</w:t>
      </w:r>
    </w:p>
    <w:p w:rsidR="007658B3" w:rsidRDefault="007507A7">
      <w:pPr>
        <w:numPr>
          <w:ilvl w:val="0"/>
          <w:numId w:val="2"/>
        </w:numPr>
      </w:pPr>
      <w:r>
        <w:t>discrete representation of soils (via soil profile) d</w:t>
      </w:r>
      <w:r w:rsidR="006B6C9A">
        <w:t>espite continuous gradation (</w:t>
      </w:r>
      <w:r>
        <w:t>Jones</w:t>
      </w:r>
      <w:r w:rsidR="006B6C9A">
        <w:t>,</w:t>
      </w:r>
      <w:r>
        <w:t xml:space="preserve"> 1959)</w:t>
      </w:r>
    </w:p>
    <w:p w:rsidR="007658B3" w:rsidRDefault="007507A7">
      <w:r>
        <w:lastRenderedPageBreak/>
        <w:t>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7658B3" w:rsidRDefault="007507A7">
      <w:r>
        <w:t>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r>
          <w:rPr>
            <w:rStyle w:val="Link"/>
          </w:rPr>
          <w:t>aqp</w:t>
        </w:r>
      </w:hyperlink>
      <w:r>
        <w:t xml:space="preserve"> package for R (Beaudette</w:t>
      </w:r>
      <w:r w:rsidR="00E0213B">
        <w:t xml:space="preserve"> et al.,</w:t>
      </w:r>
      <w:r>
        <w:t xml:space="preserve"> 2013).</w:t>
      </w:r>
    </w:p>
    <w:p w:rsidR="007658B3" w:rsidRDefault="007507A7">
      <w:pPr>
        <w:pStyle w:val="Heading1"/>
      </w:pPr>
      <w:bookmarkStart w:id="3" w:name="materials-and-methods"/>
      <w:r>
        <w:t>Materials and Methods</w:t>
      </w:r>
    </w:p>
    <w:p w:rsidR="007658B3" w:rsidRDefault="007507A7">
      <w:pPr>
        <w:pStyle w:val="Heading2"/>
      </w:pPr>
      <w:bookmarkStart w:id="4" w:name="soil-profile-data"/>
      <w:bookmarkEnd w:id="3"/>
      <w:r>
        <w:t>Soil Profile Data</w:t>
      </w:r>
    </w:p>
    <w:bookmarkEnd w:id="4"/>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906301">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5" w:name="horizon-generalization"/>
      <w:r>
        <w:t>Horizon Generalization</w:t>
      </w:r>
    </w:p>
    <w:bookmarkEnd w:id="5"/>
    <w:p w:rsidR="007658B3" w:rsidRDefault="007507A7">
      <w:r>
        <w:t>Generalized horizon labels (GHL) represent an expert-guided selection of horizon designations that were consistently observed in the field, and meaningful in terms of soil morphology and management.</w:t>
      </w:r>
      <w:r>
        <w:br/>
        <w:t xml:space="preserve">These designations were determined to convey the "morphologic story" or conceptual framework of most-likely horizons typically observed in a suite of soil profiles associated with a specific soil series or map unit soil component. The Official Series </w:t>
      </w:r>
      <w:proofErr w:type="gramStart"/>
      <w:r>
        <w:t>Description,</w:t>
      </w:r>
      <w:proofErr w:type="gramEnd"/>
      <w:r>
        <w:t xml:space="preserve"> or OSD (Soil Survey Staff</w:t>
      </w:r>
      <w:r w:rsidR="003B2468">
        <w:t>, 2015</w:t>
      </w:r>
      <w:r>
        <w:t xml:space="preserve">) of the </w:t>
      </w:r>
      <w:proofErr w:type="spellStart"/>
      <w:r>
        <w:t>Loafercreek</w:t>
      </w:r>
      <w:proofErr w:type="spellEnd"/>
      <w:r>
        <w:t xml:space="preserve"> series typical pedon and range in characteristics defines this soil series concept. In this case, the OSD provided a useful GHL template,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rsidR="007658B3" w:rsidRDefault="007507A7">
      <w:r>
        <w:lastRenderedPageBreak/>
        <w:t xml:space="preserve">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p>
    <w:p w:rsidR="007658B3" w:rsidRDefault="007507A7">
      <w:pPr>
        <w:pStyle w:val="Heading3"/>
      </w:pPr>
      <w:bookmarkStart w:id="6" w:name="aggregation-of-generalized-horizon-label"/>
      <w:r>
        <w:t>Aggregation of Generalized Horizon Labels</w:t>
      </w:r>
    </w:p>
    <w:bookmarkEnd w:id="6"/>
    <w:p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906301">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w:t>
      </w:r>
      <w:r>
        <w:lastRenderedPageBreak/>
        <w:t>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7" w:name="most-likely-horizon-boundaries"/>
      <w:r>
        <w:t>Most-Likely Horizon Boundaries</w:t>
      </w:r>
    </w:p>
    <w:bookmarkEnd w:id="7"/>
    <w:p w:rsidR="007658B3" w:rsidRDefault="007507A7">
      <w:r>
        <w:t>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probability depth functions (figure #?).</w:t>
      </w:r>
    </w:p>
    <w:p w:rsidR="007658B3" w:rsidRDefault="007507A7">
      <w:pPr>
        <w:pStyle w:val="Heading2"/>
      </w:pPr>
      <w:bookmarkStart w:id="8" w:name="quantification-of-uncertainty"/>
      <w:r>
        <w:t>Quantification of Uncertainty</w:t>
      </w:r>
    </w:p>
    <w:bookmarkEnd w:id="8"/>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information, minimum entropy) to 1 (minumum information, maximum entropy). Entropy values were computed along each 1-cm depth slice from predictions generated by the PO-LR model.</w:t>
      </w:r>
    </w:p>
    <w:p w:rsidR="007658B3" w:rsidRDefault="007507A7">
      <w:r>
        <w:t>We used Brier scores (Harrell</w:t>
      </w:r>
      <w:r w:rsidR="00C236B5">
        <w:t>,</w:t>
      </w:r>
      <w:r>
        <w:t xml:space="preserve"> 2001) to quantify agreement between assigned GHL and probabilities of predictied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9" w:name="results"/>
      <w:r>
        <w:t>Results</w:t>
      </w:r>
    </w:p>
    <w:p w:rsidR="007658B3" w:rsidRDefault="007507A7">
      <w:pPr>
        <w:pStyle w:val="Heading2"/>
      </w:pPr>
      <w:bookmarkStart w:id="10" w:name="generalized-horizon-labels"/>
      <w:bookmarkEnd w:id="9"/>
      <w:r>
        <w:t>Generalized Horizon Labels</w:t>
      </w:r>
    </w:p>
    <w:bookmarkEnd w:id="10"/>
    <w:p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w:t>
      </w:r>
      <w:r>
        <w:lastRenderedPageBreak/>
        <w:t>Bt horizons (2Bt3, Bt4, BCt, etc.) were generally the most variable and thus difficult to place within a GHL by pattern matching.</w:t>
      </w:r>
    </w:p>
    <w:p w:rsidR="007658B3" w:rsidRDefault="007507A7">
      <w:r>
        <w:t>(not sure what else to add here... ideas?)</w:t>
      </w:r>
    </w:p>
    <w:p w:rsidR="006D2E06" w:rsidRDefault="006D2E06" w:rsidP="006D2E06">
      <w:pPr>
        <w:keepNext/>
      </w:pPr>
      <w:r>
        <w:rPr>
          <w:noProof/>
        </w:rPr>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906301">
          <w:rPr>
            <w:noProof/>
          </w:rPr>
          <w:t>3</w:t>
        </w:r>
      </w:fldSimple>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620"/>
        <w:gridCol w:w="1233"/>
        <w:gridCol w:w="2092"/>
        <w:gridCol w:w="1881"/>
        <w:gridCol w:w="1829"/>
        <w:gridCol w:w="1705"/>
      </w:tblGrid>
      <w:tr w:rsidR="007658B3">
        <w:tc>
          <w:tcPr>
            <w:tcW w:w="0" w:type="auto"/>
            <w:tcBorders>
              <w:bottom w:val="single" w:sz="0" w:space="0" w:color="auto"/>
            </w:tcBorders>
            <w:vAlign w:val="bottom"/>
          </w:tcPr>
          <w:p w:rsidR="007658B3" w:rsidRDefault="007507A7">
            <w:pPr>
              <w:pStyle w:val="Compact"/>
            </w:pPr>
            <w:r>
              <w:t>GHL</w:t>
            </w:r>
          </w:p>
        </w:tc>
        <w:tc>
          <w:tcPr>
            <w:tcW w:w="0" w:type="auto"/>
            <w:tcBorders>
              <w:bottom w:val="single" w:sz="0" w:space="0" w:color="auto"/>
            </w:tcBorders>
            <w:vAlign w:val="bottom"/>
          </w:tcPr>
          <w:p w:rsidR="007658B3" w:rsidRDefault="007507A7">
            <w:pPr>
              <w:pStyle w:val="Compact"/>
            </w:pPr>
            <w:r>
              <w:t>Clay (%)</w:t>
            </w:r>
          </w:p>
        </w:tc>
        <w:tc>
          <w:tcPr>
            <w:tcW w:w="0" w:type="auto"/>
            <w:tcBorders>
              <w:bottom w:val="single" w:sz="0" w:space="0" w:color="auto"/>
            </w:tcBorders>
            <w:vAlign w:val="bottom"/>
          </w:tcPr>
          <w:p w:rsidR="007658B3" w:rsidRDefault="007507A7">
            <w:pPr>
              <w:pStyle w:val="Compact"/>
            </w:pPr>
            <w:r>
              <w:t>Horizon Mid-Point (cm)</w:t>
            </w:r>
          </w:p>
        </w:tc>
        <w:tc>
          <w:tcPr>
            <w:tcW w:w="0" w:type="auto"/>
            <w:tcBorders>
              <w:bottom w:val="single" w:sz="0" w:space="0" w:color="auto"/>
            </w:tcBorders>
            <w:vAlign w:val="bottom"/>
          </w:tcPr>
          <w:p w:rsidR="007658B3" w:rsidRDefault="007507A7">
            <w:pPr>
              <w:pStyle w:val="Compact"/>
            </w:pPr>
            <w:r>
              <w:t>Total RF Volume (%)</w:t>
            </w:r>
          </w:p>
        </w:tc>
        <w:tc>
          <w:tcPr>
            <w:tcW w:w="0" w:type="auto"/>
            <w:tcBorders>
              <w:bottom w:val="single" w:sz="0" w:space="0" w:color="auto"/>
            </w:tcBorders>
            <w:vAlign w:val="bottom"/>
          </w:tcPr>
          <w:p w:rsidR="007658B3" w:rsidRDefault="007507A7">
            <w:pPr>
              <w:pStyle w:val="Compact"/>
            </w:pPr>
            <w:r>
              <w:t>Moist Munsell Value</w:t>
            </w:r>
          </w:p>
        </w:tc>
        <w:tc>
          <w:tcPr>
            <w:tcW w:w="0" w:type="auto"/>
            <w:tcBorders>
              <w:bottom w:val="single" w:sz="0" w:space="0" w:color="auto"/>
            </w:tcBorders>
            <w:vAlign w:val="bottom"/>
          </w:tcPr>
          <w:p w:rsidR="007658B3" w:rsidRDefault="007507A7">
            <w:pPr>
              <w:pStyle w:val="Compact"/>
            </w:pPr>
            <w:r>
              <w:t>Sillhouette Width</w:t>
            </w:r>
          </w:p>
        </w:tc>
      </w:tr>
      <w:tr w:rsidR="007658B3">
        <w:tc>
          <w:tcPr>
            <w:tcW w:w="0" w:type="auto"/>
          </w:tcPr>
          <w:p w:rsidR="007658B3" w:rsidRDefault="007507A7">
            <w:pPr>
              <w:pStyle w:val="Compact"/>
            </w:pPr>
            <w:r>
              <w:t>Oi</w:t>
            </w:r>
          </w:p>
        </w:tc>
        <w:tc>
          <w:tcPr>
            <w:tcW w:w="0" w:type="auto"/>
          </w:tcPr>
          <w:p w:rsidR="007658B3" w:rsidRDefault="007507A7">
            <w:pPr>
              <w:pStyle w:val="Compact"/>
            </w:pPr>
            <w:r>
              <w:t>NaN (NA)</w:t>
            </w:r>
          </w:p>
        </w:tc>
        <w:tc>
          <w:tcPr>
            <w:tcW w:w="0" w:type="auto"/>
          </w:tcPr>
          <w:p w:rsidR="007658B3" w:rsidRDefault="007507A7">
            <w:pPr>
              <w:pStyle w:val="Compact"/>
            </w:pPr>
            <w:r>
              <w:t>0.69 (0.37)</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A</w:t>
            </w:r>
          </w:p>
        </w:tc>
        <w:tc>
          <w:tcPr>
            <w:tcW w:w="0" w:type="auto"/>
          </w:tcPr>
          <w:p w:rsidR="007658B3" w:rsidRDefault="007507A7">
            <w:pPr>
              <w:pStyle w:val="Compact"/>
            </w:pPr>
            <w:r>
              <w:t>15.68 (3.34)</w:t>
            </w:r>
          </w:p>
        </w:tc>
        <w:tc>
          <w:tcPr>
            <w:tcW w:w="0" w:type="auto"/>
          </w:tcPr>
          <w:p w:rsidR="007658B3" w:rsidRDefault="007507A7">
            <w:pPr>
              <w:pStyle w:val="Compact"/>
            </w:pPr>
            <w:r>
              <w:t>4.17 (3.19)</w:t>
            </w:r>
          </w:p>
        </w:tc>
        <w:tc>
          <w:tcPr>
            <w:tcW w:w="0" w:type="auto"/>
          </w:tcPr>
          <w:p w:rsidR="007658B3" w:rsidRDefault="007507A7">
            <w:pPr>
              <w:pStyle w:val="Compact"/>
            </w:pPr>
            <w:r>
              <w:t>6.51 (7.29)</w:t>
            </w:r>
          </w:p>
        </w:tc>
        <w:tc>
          <w:tcPr>
            <w:tcW w:w="0" w:type="auto"/>
          </w:tcPr>
          <w:p w:rsidR="007658B3" w:rsidRDefault="007507A7">
            <w:pPr>
              <w:pStyle w:val="Compact"/>
            </w:pPr>
            <w:r>
              <w:t>3.28 (0.6)</w:t>
            </w:r>
          </w:p>
        </w:tc>
        <w:tc>
          <w:tcPr>
            <w:tcW w:w="0" w:type="auto"/>
          </w:tcPr>
          <w:p w:rsidR="007658B3" w:rsidRDefault="007507A7">
            <w:pPr>
              <w:pStyle w:val="Compact"/>
            </w:pPr>
            <w:r>
              <w:t>0.16 (0.17)</w:t>
            </w:r>
          </w:p>
        </w:tc>
      </w:tr>
      <w:tr w:rsidR="007658B3">
        <w:tc>
          <w:tcPr>
            <w:tcW w:w="0" w:type="auto"/>
          </w:tcPr>
          <w:p w:rsidR="007658B3" w:rsidRDefault="007507A7">
            <w:pPr>
              <w:pStyle w:val="Compact"/>
            </w:pPr>
            <w:r>
              <w:t>BA</w:t>
            </w:r>
          </w:p>
        </w:tc>
        <w:tc>
          <w:tcPr>
            <w:tcW w:w="0" w:type="auto"/>
          </w:tcPr>
          <w:p w:rsidR="007658B3" w:rsidRDefault="007507A7">
            <w:pPr>
              <w:pStyle w:val="Compact"/>
            </w:pPr>
            <w:r>
              <w:t>17.57 (3.74)</w:t>
            </w:r>
          </w:p>
        </w:tc>
        <w:tc>
          <w:tcPr>
            <w:tcW w:w="0" w:type="auto"/>
          </w:tcPr>
          <w:p w:rsidR="007658B3" w:rsidRDefault="007507A7">
            <w:pPr>
              <w:pStyle w:val="Compact"/>
            </w:pPr>
            <w:r>
              <w:t>12.07 (6.16)</w:t>
            </w:r>
          </w:p>
        </w:tc>
        <w:tc>
          <w:tcPr>
            <w:tcW w:w="0" w:type="auto"/>
          </w:tcPr>
          <w:p w:rsidR="007658B3" w:rsidRDefault="007507A7">
            <w:pPr>
              <w:pStyle w:val="Compact"/>
            </w:pPr>
            <w:r>
              <w:t>9.71 (6.5)</w:t>
            </w:r>
          </w:p>
        </w:tc>
        <w:tc>
          <w:tcPr>
            <w:tcW w:w="0" w:type="auto"/>
          </w:tcPr>
          <w:p w:rsidR="007658B3" w:rsidRDefault="007507A7">
            <w:pPr>
              <w:pStyle w:val="Compact"/>
            </w:pPr>
            <w:r>
              <w:t>3.57 (0.76)</w:t>
            </w:r>
          </w:p>
        </w:tc>
        <w:tc>
          <w:tcPr>
            <w:tcW w:w="0" w:type="auto"/>
          </w:tcPr>
          <w:p w:rsidR="007658B3" w:rsidRDefault="007507A7">
            <w:pPr>
              <w:pStyle w:val="Compact"/>
            </w:pPr>
            <w:r>
              <w:t>-0.12 (0.1)</w:t>
            </w:r>
          </w:p>
        </w:tc>
      </w:tr>
      <w:tr w:rsidR="007658B3">
        <w:tc>
          <w:tcPr>
            <w:tcW w:w="0" w:type="auto"/>
          </w:tcPr>
          <w:p w:rsidR="007658B3" w:rsidRDefault="007507A7">
            <w:pPr>
              <w:pStyle w:val="Compact"/>
            </w:pPr>
            <w:r>
              <w:t>Bt1</w:t>
            </w:r>
          </w:p>
        </w:tc>
        <w:tc>
          <w:tcPr>
            <w:tcW w:w="0" w:type="auto"/>
          </w:tcPr>
          <w:p w:rsidR="007658B3" w:rsidRDefault="007507A7">
            <w:pPr>
              <w:pStyle w:val="Compact"/>
            </w:pPr>
            <w:r>
              <w:t>21.43 (4.54)</w:t>
            </w:r>
          </w:p>
        </w:tc>
        <w:tc>
          <w:tcPr>
            <w:tcW w:w="0" w:type="auto"/>
          </w:tcPr>
          <w:p w:rsidR="007658B3" w:rsidRDefault="007507A7">
            <w:pPr>
              <w:pStyle w:val="Compact"/>
            </w:pPr>
            <w:r>
              <w:t>19.87 (9.29)</w:t>
            </w:r>
          </w:p>
        </w:tc>
        <w:tc>
          <w:tcPr>
            <w:tcW w:w="0" w:type="auto"/>
          </w:tcPr>
          <w:p w:rsidR="007658B3" w:rsidRDefault="007507A7">
            <w:pPr>
              <w:pStyle w:val="Compact"/>
            </w:pPr>
            <w:r>
              <w:t>12.67 (12.51)</w:t>
            </w:r>
          </w:p>
        </w:tc>
        <w:tc>
          <w:tcPr>
            <w:tcW w:w="0" w:type="auto"/>
          </w:tcPr>
          <w:p w:rsidR="007658B3" w:rsidRDefault="007507A7">
            <w:pPr>
              <w:pStyle w:val="Compact"/>
            </w:pPr>
            <w:r>
              <w:t>3.72 (0.56)</w:t>
            </w:r>
          </w:p>
        </w:tc>
        <w:tc>
          <w:tcPr>
            <w:tcW w:w="0" w:type="auto"/>
          </w:tcPr>
          <w:p w:rsidR="007658B3" w:rsidRDefault="007507A7">
            <w:pPr>
              <w:pStyle w:val="Compact"/>
            </w:pPr>
            <w:r>
              <w:t>0.02 (0.14)</w:t>
            </w:r>
          </w:p>
        </w:tc>
      </w:tr>
      <w:tr w:rsidR="007658B3">
        <w:tc>
          <w:tcPr>
            <w:tcW w:w="0" w:type="auto"/>
          </w:tcPr>
          <w:p w:rsidR="007658B3" w:rsidRDefault="007507A7">
            <w:pPr>
              <w:pStyle w:val="Compact"/>
            </w:pPr>
            <w:r>
              <w:t>Bt2</w:t>
            </w:r>
          </w:p>
        </w:tc>
        <w:tc>
          <w:tcPr>
            <w:tcW w:w="0" w:type="auto"/>
          </w:tcPr>
          <w:p w:rsidR="007658B3" w:rsidRDefault="007507A7">
            <w:pPr>
              <w:pStyle w:val="Compact"/>
            </w:pPr>
            <w:r>
              <w:t>25.26 (4.98)</w:t>
            </w:r>
          </w:p>
        </w:tc>
        <w:tc>
          <w:tcPr>
            <w:tcW w:w="0" w:type="auto"/>
          </w:tcPr>
          <w:p w:rsidR="007658B3" w:rsidRDefault="007507A7">
            <w:pPr>
              <w:pStyle w:val="Compact"/>
            </w:pPr>
            <w:r>
              <w:t>39.63 (11.27)</w:t>
            </w:r>
          </w:p>
        </w:tc>
        <w:tc>
          <w:tcPr>
            <w:tcW w:w="0" w:type="auto"/>
          </w:tcPr>
          <w:p w:rsidR="007658B3" w:rsidRDefault="007507A7">
            <w:pPr>
              <w:pStyle w:val="Compact"/>
            </w:pPr>
            <w:r>
              <w:t>24.27 (21.76)</w:t>
            </w:r>
          </w:p>
        </w:tc>
        <w:tc>
          <w:tcPr>
            <w:tcW w:w="0" w:type="auto"/>
          </w:tcPr>
          <w:p w:rsidR="007658B3" w:rsidRDefault="007507A7">
            <w:pPr>
              <w:pStyle w:val="Compact"/>
            </w:pPr>
            <w:r>
              <w:t>4 (0.72)</w:t>
            </w:r>
          </w:p>
        </w:tc>
        <w:tc>
          <w:tcPr>
            <w:tcW w:w="0" w:type="auto"/>
          </w:tcPr>
          <w:p w:rsidR="007658B3" w:rsidRDefault="007507A7">
            <w:pPr>
              <w:pStyle w:val="Compact"/>
            </w:pPr>
            <w:r>
              <w:t>-0.06 (0.14)</w:t>
            </w:r>
          </w:p>
        </w:tc>
      </w:tr>
      <w:tr w:rsidR="007658B3">
        <w:tc>
          <w:tcPr>
            <w:tcW w:w="0" w:type="auto"/>
          </w:tcPr>
          <w:p w:rsidR="007658B3" w:rsidRDefault="007507A7">
            <w:pPr>
              <w:pStyle w:val="Compact"/>
            </w:pPr>
            <w:r>
              <w:t>Bt3</w:t>
            </w:r>
          </w:p>
        </w:tc>
        <w:tc>
          <w:tcPr>
            <w:tcW w:w="0" w:type="auto"/>
          </w:tcPr>
          <w:p w:rsidR="007658B3" w:rsidRDefault="007507A7">
            <w:pPr>
              <w:pStyle w:val="Compact"/>
            </w:pPr>
            <w:r>
              <w:t>28.61 (6.33)</w:t>
            </w:r>
          </w:p>
        </w:tc>
        <w:tc>
          <w:tcPr>
            <w:tcW w:w="0" w:type="auto"/>
          </w:tcPr>
          <w:p w:rsidR="007658B3" w:rsidRDefault="007507A7">
            <w:pPr>
              <w:pStyle w:val="Compact"/>
            </w:pPr>
            <w:r>
              <w:t>60.94 (13.56)</w:t>
            </w:r>
          </w:p>
        </w:tc>
        <w:tc>
          <w:tcPr>
            <w:tcW w:w="0" w:type="auto"/>
          </w:tcPr>
          <w:p w:rsidR="007658B3" w:rsidRDefault="007507A7">
            <w:pPr>
              <w:pStyle w:val="Compact"/>
            </w:pPr>
            <w:r>
              <w:t>35.02 (23.9)</w:t>
            </w:r>
          </w:p>
        </w:tc>
        <w:tc>
          <w:tcPr>
            <w:tcW w:w="0" w:type="auto"/>
          </w:tcPr>
          <w:p w:rsidR="007658B3" w:rsidRDefault="007507A7">
            <w:pPr>
              <w:pStyle w:val="Compact"/>
            </w:pPr>
            <w:r>
              <w:t>4.37 (0.6)</w:t>
            </w:r>
          </w:p>
        </w:tc>
        <w:tc>
          <w:tcPr>
            <w:tcW w:w="0" w:type="auto"/>
          </w:tcPr>
          <w:p w:rsidR="007658B3" w:rsidRDefault="007507A7">
            <w:pPr>
              <w:pStyle w:val="Compact"/>
            </w:pPr>
            <w:r>
              <w:t>0.06 (0.14)</w:t>
            </w:r>
          </w:p>
        </w:tc>
      </w:tr>
      <w:tr w:rsidR="007658B3">
        <w:tc>
          <w:tcPr>
            <w:tcW w:w="0" w:type="auto"/>
          </w:tcPr>
          <w:p w:rsidR="007658B3" w:rsidRDefault="007507A7">
            <w:pPr>
              <w:pStyle w:val="Compact"/>
            </w:pPr>
            <w:r>
              <w:t>Cr</w:t>
            </w:r>
          </w:p>
        </w:tc>
        <w:tc>
          <w:tcPr>
            <w:tcW w:w="0" w:type="auto"/>
          </w:tcPr>
          <w:p w:rsidR="007658B3" w:rsidRDefault="007507A7">
            <w:pPr>
              <w:pStyle w:val="Compact"/>
            </w:pPr>
            <w:r>
              <w:t>NaN (NA)</w:t>
            </w:r>
          </w:p>
        </w:tc>
        <w:tc>
          <w:tcPr>
            <w:tcW w:w="0" w:type="auto"/>
          </w:tcPr>
          <w:p w:rsidR="007658B3" w:rsidRDefault="007507A7">
            <w:pPr>
              <w:pStyle w:val="Compact"/>
            </w:pPr>
            <w:r>
              <w:t>76.96 (16.41)</w:t>
            </w:r>
          </w:p>
        </w:tc>
        <w:tc>
          <w:tcPr>
            <w:tcW w:w="0" w:type="auto"/>
          </w:tcPr>
          <w:p w:rsidR="007658B3" w:rsidRDefault="007507A7">
            <w:pPr>
              <w:pStyle w:val="Compact"/>
            </w:pPr>
            <w:r>
              <w:t>0 (0)</w:t>
            </w:r>
          </w:p>
        </w:tc>
        <w:tc>
          <w:tcPr>
            <w:tcW w:w="0" w:type="auto"/>
          </w:tcPr>
          <w:p w:rsidR="007658B3" w:rsidRDefault="007507A7">
            <w:pPr>
              <w:pStyle w:val="Compact"/>
            </w:pPr>
            <w:r>
              <w:t>5 (NA)</w:t>
            </w:r>
          </w:p>
        </w:tc>
        <w:tc>
          <w:tcPr>
            <w:tcW w:w="0" w:type="auto"/>
          </w:tcPr>
          <w:p w:rsidR="007658B3" w:rsidRDefault="007507A7">
            <w:pPr>
              <w:pStyle w:val="Compact"/>
            </w:pPr>
            <w:r>
              <w:t>NaN (NA)</w:t>
            </w:r>
          </w:p>
        </w:tc>
      </w:tr>
      <w:tr w:rsidR="007658B3">
        <w:tc>
          <w:tcPr>
            <w:tcW w:w="0" w:type="auto"/>
          </w:tcPr>
          <w:p w:rsidR="007658B3" w:rsidRDefault="007507A7">
            <w:pPr>
              <w:pStyle w:val="Compact"/>
            </w:pPr>
            <w:r>
              <w:t>R</w:t>
            </w:r>
          </w:p>
        </w:tc>
        <w:tc>
          <w:tcPr>
            <w:tcW w:w="0" w:type="auto"/>
          </w:tcPr>
          <w:p w:rsidR="007658B3" w:rsidRDefault="007507A7">
            <w:pPr>
              <w:pStyle w:val="Compact"/>
            </w:pPr>
            <w:r>
              <w:t>NaN (NA)</w:t>
            </w:r>
          </w:p>
        </w:tc>
        <w:tc>
          <w:tcPr>
            <w:tcW w:w="0" w:type="auto"/>
          </w:tcPr>
          <w:p w:rsidR="007658B3" w:rsidRDefault="007507A7">
            <w:pPr>
              <w:pStyle w:val="Compact"/>
            </w:pPr>
            <w:r>
              <w:t>137 (11.54)</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NA</w:t>
            </w:r>
          </w:p>
        </w:tc>
        <w:tc>
          <w:tcPr>
            <w:tcW w:w="0" w:type="auto"/>
          </w:tcPr>
          <w:p w:rsidR="007658B3" w:rsidRDefault="007507A7">
            <w:pPr>
              <w:pStyle w:val="Compact"/>
            </w:pPr>
            <w:r>
              <w:t>19.33 (4.93)</w:t>
            </w:r>
          </w:p>
        </w:tc>
        <w:tc>
          <w:tcPr>
            <w:tcW w:w="0" w:type="auto"/>
          </w:tcPr>
          <w:p w:rsidR="007658B3" w:rsidRDefault="007507A7">
            <w:pPr>
              <w:pStyle w:val="Compact"/>
            </w:pPr>
            <w:r>
              <w:t>13 (5.2)</w:t>
            </w:r>
          </w:p>
        </w:tc>
        <w:tc>
          <w:tcPr>
            <w:tcW w:w="0" w:type="auto"/>
          </w:tcPr>
          <w:p w:rsidR="007658B3" w:rsidRDefault="007507A7">
            <w:pPr>
              <w:pStyle w:val="Compact"/>
            </w:pPr>
            <w:r>
              <w:t>18.33 (11.55)</w:t>
            </w:r>
          </w:p>
        </w:tc>
        <w:tc>
          <w:tcPr>
            <w:tcW w:w="0" w:type="auto"/>
          </w:tcPr>
          <w:p w:rsidR="007658B3" w:rsidRDefault="007507A7">
            <w:pPr>
              <w:pStyle w:val="Compact"/>
            </w:pPr>
            <w:r>
              <w:t>4 (0)</w:t>
            </w:r>
          </w:p>
        </w:tc>
        <w:tc>
          <w:tcPr>
            <w:tcW w:w="0" w:type="auto"/>
          </w:tcPr>
          <w:p w:rsidR="007658B3" w:rsidRDefault="007507A7">
            <w:pPr>
              <w:pStyle w:val="Compact"/>
            </w:pPr>
            <w:r>
              <w:t>NaN (NA)</w:t>
            </w:r>
          </w:p>
        </w:tc>
      </w:tr>
    </w:tbl>
    <w:p w:rsidR="007658B3" w:rsidRDefault="007507A7">
      <w:pPr>
        <w:pStyle w:val="TableCaption"/>
      </w:pPr>
      <w:r>
        <w:lastRenderedPageBreak/>
        <w:t>Table 1. Evaluation of GHL via field-described soil properties. Reported values are means with standard deviation in parenthesis. Values marked as "NA" or "NaN" are the result of missing or insufficient data.</w:t>
      </w:r>
    </w:p>
    <w:p w:rsidR="007658B3" w:rsidRDefault="007507A7">
      <w:pPr>
        <w:pStyle w:val="Heading2"/>
      </w:pPr>
      <w:bookmarkStart w:id="11" w:name="aggregate-representation-of-ghl"/>
      <w:r>
        <w:t>Aggregate Representation of GHL</w:t>
      </w:r>
    </w:p>
    <w:bookmarkEnd w:id="11"/>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906301">
          <w:rPr>
            <w:noProof/>
          </w:rPr>
          <w:t>4</w:t>
        </w:r>
      </w:fldSimple>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906301">
          <w:rPr>
            <w:noProof/>
          </w:rPr>
          <w:t>5</w:t>
        </w:r>
      </w:fldSimple>
      <w:r>
        <w:t xml:space="preserve">. </w:t>
      </w:r>
      <w:r w:rsidRPr="002159F1">
        <w:t>Brier scores and Shannon entropy computed from PO-LR predictions.</w:t>
      </w:r>
    </w:p>
    <w:p w:rsidR="007658B3" w:rsidRDefault="007507A7">
      <w:pPr>
        <w:pStyle w:val="Heading2"/>
      </w:pPr>
      <w:bookmarkStart w:id="12"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976"/>
        <w:gridCol w:w="1083"/>
        <w:gridCol w:w="1413"/>
        <w:gridCol w:w="701"/>
        <w:gridCol w:w="976"/>
        <w:gridCol w:w="1083"/>
        <w:gridCol w:w="1413"/>
        <w:gridCol w:w="701"/>
      </w:tblGrid>
      <w:tr w:rsidR="007658B3">
        <w:tc>
          <w:tcPr>
            <w:tcW w:w="0" w:type="auto"/>
            <w:tcBorders>
              <w:bottom w:val="single" w:sz="0" w:space="0" w:color="auto"/>
            </w:tcBorders>
            <w:vAlign w:val="bottom"/>
          </w:tcPr>
          <w:bookmarkEnd w:id="12"/>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c>
          <w:tcPr>
            <w:tcW w:w="0" w:type="auto"/>
            <w:tcBorders>
              <w:bottom w:val="single" w:sz="0" w:space="0" w:color="auto"/>
            </w:tcBorders>
            <w:vAlign w:val="bottom"/>
          </w:tcPr>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r>
      <w:tr w:rsidR="007658B3">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8</w:t>
            </w:r>
          </w:p>
        </w:tc>
        <w:tc>
          <w:tcPr>
            <w:tcW w:w="0" w:type="auto"/>
          </w:tcPr>
          <w:p w:rsidR="007658B3" w:rsidRDefault="007507A7">
            <w:pPr>
              <w:pStyle w:val="Compact"/>
              <w:jc w:val="right"/>
            </w:pPr>
            <w:r>
              <w:t>0.20</w:t>
            </w:r>
          </w:p>
        </w:tc>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9</w:t>
            </w:r>
          </w:p>
        </w:tc>
        <w:tc>
          <w:tcPr>
            <w:tcW w:w="0" w:type="auto"/>
          </w:tcPr>
          <w:p w:rsidR="007658B3" w:rsidRDefault="007507A7">
            <w:pPr>
              <w:pStyle w:val="Compact"/>
              <w:jc w:val="right"/>
            </w:pPr>
            <w:r>
              <w:t>0.26</w:t>
            </w:r>
          </w:p>
        </w:tc>
      </w:tr>
      <w:tr w:rsidR="007658B3">
        <w:tc>
          <w:tcPr>
            <w:tcW w:w="0" w:type="auto"/>
          </w:tcPr>
          <w:p w:rsidR="007658B3" w:rsidRDefault="007507A7">
            <w:pPr>
              <w:pStyle w:val="Compact"/>
            </w:pPr>
            <w:r>
              <w:t>Bt1</w:t>
            </w:r>
          </w:p>
        </w:tc>
        <w:tc>
          <w:tcPr>
            <w:tcW w:w="0" w:type="auto"/>
          </w:tcPr>
          <w:p w:rsidR="007658B3" w:rsidRDefault="007507A7">
            <w:pPr>
              <w:pStyle w:val="Compact"/>
              <w:jc w:val="right"/>
            </w:pPr>
            <w:r>
              <w:t>8</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c>
          <w:tcPr>
            <w:tcW w:w="0" w:type="auto"/>
          </w:tcPr>
          <w:p w:rsidR="007658B3" w:rsidRDefault="007507A7">
            <w:pPr>
              <w:pStyle w:val="Compact"/>
            </w:pPr>
            <w:r>
              <w:t>Bt1</w:t>
            </w:r>
          </w:p>
        </w:tc>
        <w:tc>
          <w:tcPr>
            <w:tcW w:w="0" w:type="auto"/>
          </w:tcPr>
          <w:p w:rsidR="007658B3" w:rsidRDefault="007507A7">
            <w:pPr>
              <w:pStyle w:val="Compact"/>
              <w:jc w:val="right"/>
            </w:pPr>
            <w:r>
              <w:t>9</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51</w:t>
            </w:r>
          </w:p>
        </w:tc>
        <w:tc>
          <w:tcPr>
            <w:tcW w:w="0" w:type="auto"/>
          </w:tcPr>
          <w:p w:rsidR="007658B3" w:rsidRDefault="007507A7">
            <w:pPr>
              <w:pStyle w:val="Compact"/>
              <w:jc w:val="right"/>
            </w:pPr>
            <w:r>
              <w:t>0.25</w:t>
            </w:r>
          </w:p>
        </w:tc>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50</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Bt3</w:t>
            </w:r>
          </w:p>
        </w:tc>
        <w:tc>
          <w:tcPr>
            <w:tcW w:w="0" w:type="auto"/>
          </w:tcPr>
          <w:p w:rsidR="007658B3" w:rsidRDefault="007507A7">
            <w:pPr>
              <w:pStyle w:val="Compact"/>
              <w:jc w:val="right"/>
            </w:pPr>
            <w:r>
              <w:t>51</w:t>
            </w:r>
          </w:p>
        </w:tc>
        <w:tc>
          <w:tcPr>
            <w:tcW w:w="0" w:type="auto"/>
          </w:tcPr>
          <w:p w:rsidR="007658B3" w:rsidRDefault="007507A7">
            <w:pPr>
              <w:pStyle w:val="Compact"/>
              <w:jc w:val="right"/>
            </w:pPr>
            <w:r>
              <w:t>68</w:t>
            </w:r>
          </w:p>
        </w:tc>
        <w:tc>
          <w:tcPr>
            <w:tcW w:w="0" w:type="auto"/>
          </w:tcPr>
          <w:p w:rsidR="007658B3" w:rsidRDefault="007507A7">
            <w:pPr>
              <w:pStyle w:val="Compact"/>
              <w:jc w:val="right"/>
            </w:pPr>
            <w:r>
              <w:t>0.44</w:t>
            </w:r>
          </w:p>
        </w:tc>
        <w:tc>
          <w:tcPr>
            <w:tcW w:w="0" w:type="auto"/>
          </w:tcPr>
          <w:p w:rsidR="007658B3" w:rsidRDefault="007507A7">
            <w:pPr>
              <w:pStyle w:val="Compact"/>
            </w:pPr>
            <w:r>
              <w:t>Bt3</w:t>
            </w:r>
          </w:p>
        </w:tc>
        <w:tc>
          <w:tcPr>
            <w:tcW w:w="0" w:type="auto"/>
          </w:tcPr>
          <w:p w:rsidR="007658B3" w:rsidRDefault="007507A7">
            <w:pPr>
              <w:pStyle w:val="Compact"/>
              <w:jc w:val="right"/>
            </w:pPr>
            <w:r>
              <w:t>50</w:t>
            </w:r>
          </w:p>
        </w:tc>
        <w:tc>
          <w:tcPr>
            <w:tcW w:w="0" w:type="auto"/>
          </w:tcPr>
          <w:p w:rsidR="007658B3" w:rsidRDefault="007507A7">
            <w:pPr>
              <w:pStyle w:val="Compact"/>
              <w:jc w:val="right"/>
            </w:pPr>
            <w:r>
              <w:t>67</w:t>
            </w:r>
          </w:p>
        </w:tc>
        <w:tc>
          <w:tcPr>
            <w:tcW w:w="0" w:type="auto"/>
          </w:tcPr>
          <w:p w:rsidR="007658B3" w:rsidRDefault="007507A7">
            <w:pPr>
              <w:pStyle w:val="Compact"/>
              <w:jc w:val="right"/>
            </w:pPr>
            <w:r>
              <w:t>0.39</w:t>
            </w:r>
          </w:p>
        </w:tc>
      </w:tr>
      <w:tr w:rsidR="007658B3">
        <w:tc>
          <w:tcPr>
            <w:tcW w:w="0" w:type="auto"/>
          </w:tcPr>
          <w:p w:rsidR="007658B3" w:rsidRDefault="007507A7">
            <w:pPr>
              <w:pStyle w:val="Compact"/>
            </w:pPr>
            <w:r>
              <w:t>Cr</w:t>
            </w:r>
          </w:p>
        </w:tc>
        <w:tc>
          <w:tcPr>
            <w:tcW w:w="0" w:type="auto"/>
          </w:tcPr>
          <w:p w:rsidR="007658B3" w:rsidRDefault="007507A7">
            <w:pPr>
              <w:pStyle w:val="Compact"/>
              <w:jc w:val="right"/>
            </w:pPr>
            <w:r>
              <w:t>68</w:t>
            </w:r>
          </w:p>
        </w:tc>
        <w:tc>
          <w:tcPr>
            <w:tcW w:w="0" w:type="auto"/>
          </w:tcPr>
          <w:p w:rsidR="007658B3" w:rsidRDefault="007507A7">
            <w:pPr>
              <w:pStyle w:val="Compact"/>
              <w:jc w:val="right"/>
            </w:pPr>
            <w:r>
              <w:t>90</w:t>
            </w:r>
          </w:p>
        </w:tc>
        <w:tc>
          <w:tcPr>
            <w:tcW w:w="0" w:type="auto"/>
          </w:tcPr>
          <w:p w:rsidR="007658B3" w:rsidRDefault="007507A7">
            <w:pPr>
              <w:pStyle w:val="Compact"/>
              <w:jc w:val="right"/>
            </w:pPr>
            <w:r>
              <w:t>0.36</w:t>
            </w:r>
          </w:p>
        </w:tc>
        <w:tc>
          <w:tcPr>
            <w:tcW w:w="0" w:type="auto"/>
          </w:tcPr>
          <w:p w:rsidR="007658B3" w:rsidRDefault="007507A7">
            <w:pPr>
              <w:pStyle w:val="Compact"/>
            </w:pPr>
            <w:r>
              <w:t>Cr</w:t>
            </w:r>
          </w:p>
        </w:tc>
        <w:tc>
          <w:tcPr>
            <w:tcW w:w="0" w:type="auto"/>
          </w:tcPr>
          <w:p w:rsidR="007658B3" w:rsidRDefault="007507A7">
            <w:pPr>
              <w:pStyle w:val="Compact"/>
              <w:jc w:val="right"/>
            </w:pPr>
            <w:r>
              <w:t>67</w:t>
            </w:r>
          </w:p>
        </w:tc>
        <w:tc>
          <w:tcPr>
            <w:tcW w:w="0" w:type="auto"/>
          </w:tcPr>
          <w:p w:rsidR="007658B3" w:rsidRDefault="007507A7">
            <w:pPr>
              <w:pStyle w:val="Compact"/>
              <w:jc w:val="right"/>
            </w:pPr>
            <w:r>
              <w:t>91</w:t>
            </w:r>
          </w:p>
        </w:tc>
        <w:tc>
          <w:tcPr>
            <w:tcW w:w="0" w:type="auto"/>
          </w:tcPr>
          <w:p w:rsidR="007658B3" w:rsidRDefault="007507A7">
            <w:pPr>
              <w:pStyle w:val="Compact"/>
              <w:jc w:val="right"/>
            </w:pPr>
            <w:r>
              <w:t>0.36</w:t>
            </w:r>
          </w:p>
        </w:tc>
      </w:tr>
      <w:tr w:rsidR="007658B3">
        <w:tc>
          <w:tcPr>
            <w:tcW w:w="0" w:type="auto"/>
          </w:tcPr>
          <w:p w:rsidR="007658B3" w:rsidRDefault="007507A7">
            <w:pPr>
              <w:pStyle w:val="Compact"/>
            </w:pPr>
            <w:r>
              <w:t>R</w:t>
            </w:r>
          </w:p>
        </w:tc>
        <w:tc>
          <w:tcPr>
            <w:tcW w:w="0" w:type="auto"/>
          </w:tcPr>
          <w:p w:rsidR="007658B3" w:rsidRDefault="007507A7">
            <w:pPr>
              <w:pStyle w:val="Compact"/>
              <w:jc w:val="right"/>
            </w:pPr>
            <w:r>
              <w:t>90</w:t>
            </w:r>
          </w:p>
        </w:tc>
        <w:tc>
          <w:tcPr>
            <w:tcW w:w="0" w:type="auto"/>
          </w:tcPr>
          <w:p w:rsidR="007658B3" w:rsidRDefault="007507A7">
            <w:pPr>
              <w:pStyle w:val="Compact"/>
              <w:jc w:val="right"/>
            </w:pPr>
            <w:r>
              <w:t>203</w:t>
            </w:r>
          </w:p>
        </w:tc>
        <w:tc>
          <w:tcPr>
            <w:tcW w:w="0" w:type="auto"/>
          </w:tcPr>
          <w:p w:rsidR="007658B3" w:rsidRDefault="007507A7">
            <w:pPr>
              <w:pStyle w:val="Compact"/>
              <w:jc w:val="right"/>
            </w:pPr>
            <w:r>
              <w:t>0.05</w:t>
            </w:r>
          </w:p>
        </w:tc>
        <w:tc>
          <w:tcPr>
            <w:tcW w:w="0" w:type="auto"/>
          </w:tcPr>
          <w:p w:rsidR="007658B3" w:rsidRDefault="007507A7">
            <w:pPr>
              <w:pStyle w:val="Compact"/>
            </w:pPr>
            <w:r>
              <w:t>R</w:t>
            </w:r>
          </w:p>
        </w:tc>
        <w:tc>
          <w:tcPr>
            <w:tcW w:w="0" w:type="auto"/>
          </w:tcPr>
          <w:p w:rsidR="007658B3" w:rsidRDefault="007507A7">
            <w:pPr>
              <w:pStyle w:val="Compact"/>
              <w:jc w:val="right"/>
            </w:pPr>
            <w:r>
              <w:t>91</w:t>
            </w:r>
          </w:p>
        </w:tc>
        <w:tc>
          <w:tcPr>
            <w:tcW w:w="0" w:type="auto"/>
          </w:tcPr>
          <w:p w:rsidR="007658B3" w:rsidRDefault="007507A7">
            <w:pPr>
              <w:pStyle w:val="Compact"/>
              <w:jc w:val="right"/>
            </w:pPr>
            <w:r>
              <w:t>151</w:t>
            </w:r>
          </w:p>
        </w:tc>
        <w:tc>
          <w:tcPr>
            <w:tcW w:w="0" w:type="auto"/>
          </w:tcPr>
          <w:p w:rsidR="007658B3" w:rsidRDefault="007507A7">
            <w:pPr>
              <w:pStyle w:val="Compact"/>
              <w:jc w:val="right"/>
            </w:pPr>
            <w:r>
              <w:t>0.08</w:t>
            </w:r>
          </w:p>
        </w:tc>
      </w:tr>
    </w:tbl>
    <w:p w:rsidR="007658B3" w:rsidRDefault="007507A7">
      <w:pPr>
        <w:pStyle w:val="TableCaption"/>
      </w:pPr>
      <w:r>
        <w:t>Table 3. Most-likely GHL boundary depths and associated Brier scores, computed from empirical probabilities and PO-LR predictions.</w:t>
      </w:r>
    </w:p>
    <w:p w:rsidR="007658B3" w:rsidRDefault="007507A7">
      <w:pPr>
        <w:pStyle w:val="Heading2"/>
      </w:pPr>
      <w:bookmarkStart w:id="13" w:name="model-fit"/>
      <w:r>
        <w:lastRenderedPageBreak/>
        <w:t>Model Fit</w:t>
      </w:r>
    </w:p>
    <w:bookmarkEnd w:id="13"/>
    <w:p w:rsidR="00796C60" w:rsidRDefault="00796C60" w:rsidP="00796C60">
      <w:pPr>
        <w:keepNext/>
      </w:pPr>
      <w:r>
        <w:rPr>
          <w:noProof/>
        </w:rPr>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796C60">
      <w:pPr>
        <w:pStyle w:val="Caption"/>
      </w:pPr>
      <w:r>
        <w:t xml:space="preserve">Figure </w:t>
      </w:r>
      <w:fldSimple w:instr=" SEQ Figure \* ARABIC ">
        <w:r w:rsidR="00906301">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796C60" w:rsidRDefault="00796C60"/>
    <w:p w:rsidR="007658B3" w:rsidRDefault="007507A7">
      <w:r>
        <w:t>Tidy representation of model fit here.</w:t>
      </w:r>
    </w:p>
    <w:tbl>
      <w:tblPr>
        <w:tblW w:w="0" w:type="auto"/>
        <w:tblLook w:val="04A0" w:firstRow="1" w:lastRow="0" w:firstColumn="1" w:lastColumn="0" w:noHBand="0" w:noVBand="1"/>
      </w:tblPr>
      <w:tblGrid>
        <w:gridCol w:w="968"/>
        <w:gridCol w:w="1066"/>
        <w:gridCol w:w="871"/>
        <w:gridCol w:w="875"/>
      </w:tblGrid>
      <w:tr w:rsidR="007658B3">
        <w:tc>
          <w:tcPr>
            <w:tcW w:w="0" w:type="auto"/>
            <w:tcBorders>
              <w:bottom w:val="single" w:sz="0" w:space="0" w:color="auto"/>
            </w:tcBorders>
            <w:vAlign w:val="bottom"/>
          </w:tcPr>
          <w:p w:rsidR="007658B3" w:rsidRDefault="007507A7">
            <w:pPr>
              <w:pStyle w:val="Compact"/>
            </w:pPr>
            <w:r>
              <w:t>Term</w:t>
            </w:r>
          </w:p>
        </w:tc>
        <w:tc>
          <w:tcPr>
            <w:tcW w:w="0" w:type="auto"/>
            <w:tcBorders>
              <w:bottom w:val="single" w:sz="0" w:space="0" w:color="auto"/>
            </w:tcBorders>
            <w:vAlign w:val="bottom"/>
          </w:tcPr>
          <w:p w:rsidR="007658B3" w:rsidRDefault="007507A7">
            <w:pPr>
              <w:pStyle w:val="Compact"/>
            </w:pPr>
            <w:r>
              <w:t>Coef</w:t>
            </w:r>
          </w:p>
        </w:tc>
        <w:tc>
          <w:tcPr>
            <w:tcW w:w="0" w:type="auto"/>
            <w:tcBorders>
              <w:bottom w:val="single" w:sz="0" w:space="0" w:color="auto"/>
            </w:tcBorders>
            <w:vAlign w:val="bottom"/>
          </w:tcPr>
          <w:p w:rsidR="007658B3" w:rsidRDefault="007507A7">
            <w:pPr>
              <w:pStyle w:val="Compact"/>
            </w:pPr>
            <w:r>
              <w:t>S.E.</w:t>
            </w:r>
          </w:p>
        </w:tc>
        <w:tc>
          <w:tcPr>
            <w:tcW w:w="0" w:type="auto"/>
            <w:tcBorders>
              <w:bottom w:val="single" w:sz="0" w:space="0" w:color="auto"/>
            </w:tcBorders>
            <w:vAlign w:val="bottom"/>
          </w:tcPr>
          <w:p w:rsidR="007658B3" w:rsidRDefault="007507A7">
            <w:pPr>
              <w:pStyle w:val="Compact"/>
            </w:pPr>
            <w:r>
              <w:t>Wald Z</w:t>
            </w:r>
          </w:p>
        </w:tc>
      </w:tr>
      <w:tr w:rsidR="007658B3">
        <w:tc>
          <w:tcPr>
            <w:tcW w:w="0" w:type="auto"/>
          </w:tcPr>
          <w:p w:rsidR="007658B3" w:rsidRDefault="007507A7">
            <w:pPr>
              <w:pStyle w:val="Compact"/>
            </w:pPr>
            <w:r>
              <w:t>y&gt;=A</w:t>
            </w:r>
          </w:p>
        </w:tc>
        <w:tc>
          <w:tcPr>
            <w:tcW w:w="0" w:type="auto"/>
          </w:tcPr>
          <w:p w:rsidR="007658B3" w:rsidRDefault="007507A7">
            <w:pPr>
              <w:pStyle w:val="Compact"/>
            </w:pPr>
            <w:r>
              <w:t>2.2050</w:t>
            </w:r>
          </w:p>
        </w:tc>
        <w:tc>
          <w:tcPr>
            <w:tcW w:w="0" w:type="auto"/>
          </w:tcPr>
          <w:p w:rsidR="007658B3" w:rsidRDefault="007507A7">
            <w:pPr>
              <w:pStyle w:val="Compact"/>
            </w:pPr>
            <w:r>
              <w:t>0.2008</w:t>
            </w:r>
          </w:p>
        </w:tc>
        <w:tc>
          <w:tcPr>
            <w:tcW w:w="0" w:type="auto"/>
          </w:tcPr>
          <w:p w:rsidR="007658B3" w:rsidRDefault="007507A7">
            <w:pPr>
              <w:pStyle w:val="Compact"/>
            </w:pPr>
            <w:r>
              <w:t>10.98</w:t>
            </w:r>
          </w:p>
        </w:tc>
      </w:tr>
      <w:tr w:rsidR="007658B3">
        <w:tc>
          <w:tcPr>
            <w:tcW w:w="0" w:type="auto"/>
          </w:tcPr>
          <w:p w:rsidR="007658B3" w:rsidRDefault="007507A7">
            <w:pPr>
              <w:pStyle w:val="Compact"/>
            </w:pPr>
            <w:r>
              <w:t>y&gt;=BA</w:t>
            </w:r>
          </w:p>
        </w:tc>
        <w:tc>
          <w:tcPr>
            <w:tcW w:w="0" w:type="auto"/>
          </w:tcPr>
          <w:p w:rsidR="007658B3" w:rsidRDefault="007507A7">
            <w:pPr>
              <w:pStyle w:val="Compact"/>
            </w:pPr>
            <w:r>
              <w:t>-1.6688</w:t>
            </w:r>
          </w:p>
        </w:tc>
        <w:tc>
          <w:tcPr>
            <w:tcW w:w="0" w:type="auto"/>
          </w:tcPr>
          <w:p w:rsidR="007658B3" w:rsidRDefault="007507A7">
            <w:pPr>
              <w:pStyle w:val="Compact"/>
            </w:pPr>
            <w:r>
              <w:t>0.1020</w:t>
            </w:r>
          </w:p>
        </w:tc>
        <w:tc>
          <w:tcPr>
            <w:tcW w:w="0" w:type="auto"/>
          </w:tcPr>
          <w:p w:rsidR="007658B3" w:rsidRDefault="007507A7">
            <w:pPr>
              <w:pStyle w:val="Compact"/>
            </w:pPr>
            <w:r>
              <w:t>-16.36</w:t>
            </w:r>
          </w:p>
        </w:tc>
      </w:tr>
      <w:tr w:rsidR="007658B3">
        <w:tc>
          <w:tcPr>
            <w:tcW w:w="0" w:type="auto"/>
          </w:tcPr>
          <w:p w:rsidR="007658B3" w:rsidRDefault="007507A7">
            <w:pPr>
              <w:pStyle w:val="Compact"/>
            </w:pPr>
            <w:r>
              <w:t>y&gt;=Bt1</w:t>
            </w:r>
          </w:p>
        </w:tc>
        <w:tc>
          <w:tcPr>
            <w:tcW w:w="0" w:type="auto"/>
          </w:tcPr>
          <w:p w:rsidR="007658B3" w:rsidRDefault="007507A7">
            <w:pPr>
              <w:pStyle w:val="Compact"/>
            </w:pPr>
            <w:r>
              <w:t>-2.3032</w:t>
            </w:r>
          </w:p>
        </w:tc>
        <w:tc>
          <w:tcPr>
            <w:tcW w:w="0" w:type="auto"/>
          </w:tcPr>
          <w:p w:rsidR="007658B3" w:rsidRDefault="007507A7">
            <w:pPr>
              <w:pStyle w:val="Compact"/>
            </w:pPr>
            <w:r>
              <w:t>0.1064</w:t>
            </w:r>
          </w:p>
        </w:tc>
        <w:tc>
          <w:tcPr>
            <w:tcW w:w="0" w:type="auto"/>
          </w:tcPr>
          <w:p w:rsidR="007658B3" w:rsidRDefault="007507A7">
            <w:pPr>
              <w:pStyle w:val="Compact"/>
            </w:pPr>
            <w:r>
              <w:t>-21.66</w:t>
            </w:r>
          </w:p>
        </w:tc>
      </w:tr>
      <w:tr w:rsidR="007658B3">
        <w:tc>
          <w:tcPr>
            <w:tcW w:w="0" w:type="auto"/>
          </w:tcPr>
          <w:p w:rsidR="007658B3" w:rsidRDefault="007507A7">
            <w:pPr>
              <w:pStyle w:val="Compact"/>
            </w:pPr>
            <w:r>
              <w:t>y&gt;=Bt2</w:t>
            </w:r>
          </w:p>
        </w:tc>
        <w:tc>
          <w:tcPr>
            <w:tcW w:w="0" w:type="auto"/>
          </w:tcPr>
          <w:p w:rsidR="007658B3" w:rsidRDefault="007507A7">
            <w:pPr>
              <w:pStyle w:val="Compact"/>
            </w:pPr>
            <w:r>
              <w:t>-6.4802</w:t>
            </w:r>
          </w:p>
        </w:tc>
        <w:tc>
          <w:tcPr>
            <w:tcW w:w="0" w:type="auto"/>
          </w:tcPr>
          <w:p w:rsidR="007658B3" w:rsidRDefault="007507A7">
            <w:pPr>
              <w:pStyle w:val="Compact"/>
            </w:pPr>
            <w:r>
              <w:t>0.1961</w:t>
            </w:r>
          </w:p>
        </w:tc>
        <w:tc>
          <w:tcPr>
            <w:tcW w:w="0" w:type="auto"/>
          </w:tcPr>
          <w:p w:rsidR="007658B3" w:rsidRDefault="007507A7">
            <w:pPr>
              <w:pStyle w:val="Compact"/>
            </w:pPr>
            <w:r>
              <w:t>-33.04</w:t>
            </w:r>
          </w:p>
        </w:tc>
      </w:tr>
      <w:tr w:rsidR="007658B3">
        <w:tc>
          <w:tcPr>
            <w:tcW w:w="0" w:type="auto"/>
          </w:tcPr>
          <w:p w:rsidR="007658B3" w:rsidRDefault="007507A7">
            <w:pPr>
              <w:pStyle w:val="Compact"/>
            </w:pPr>
            <w:r>
              <w:t>y&gt;=Bt3</w:t>
            </w:r>
          </w:p>
        </w:tc>
        <w:tc>
          <w:tcPr>
            <w:tcW w:w="0" w:type="auto"/>
          </w:tcPr>
          <w:p w:rsidR="007658B3" w:rsidRDefault="007507A7">
            <w:pPr>
              <w:pStyle w:val="Compact"/>
            </w:pPr>
            <w:r>
              <w:t>-10.5553</w:t>
            </w:r>
          </w:p>
        </w:tc>
        <w:tc>
          <w:tcPr>
            <w:tcW w:w="0" w:type="auto"/>
          </w:tcPr>
          <w:p w:rsidR="007658B3" w:rsidRDefault="007507A7">
            <w:pPr>
              <w:pStyle w:val="Compact"/>
            </w:pPr>
            <w:r>
              <w:t>0.2542</w:t>
            </w:r>
          </w:p>
        </w:tc>
        <w:tc>
          <w:tcPr>
            <w:tcW w:w="0" w:type="auto"/>
          </w:tcPr>
          <w:p w:rsidR="007658B3" w:rsidRDefault="007507A7">
            <w:pPr>
              <w:pStyle w:val="Compact"/>
            </w:pPr>
            <w:r>
              <w:t>-41.52</w:t>
            </w:r>
          </w:p>
        </w:tc>
      </w:tr>
      <w:tr w:rsidR="007658B3">
        <w:tc>
          <w:tcPr>
            <w:tcW w:w="0" w:type="auto"/>
          </w:tcPr>
          <w:p w:rsidR="007658B3" w:rsidRDefault="007507A7">
            <w:pPr>
              <w:pStyle w:val="Compact"/>
            </w:pPr>
            <w:r>
              <w:t>y&gt;=Cr</w:t>
            </w:r>
          </w:p>
        </w:tc>
        <w:tc>
          <w:tcPr>
            <w:tcW w:w="0" w:type="auto"/>
          </w:tcPr>
          <w:p w:rsidR="007658B3" w:rsidRDefault="007507A7">
            <w:pPr>
              <w:pStyle w:val="Compact"/>
            </w:pPr>
            <w:r>
              <w:t>-13.0341</w:t>
            </w:r>
          </w:p>
        </w:tc>
        <w:tc>
          <w:tcPr>
            <w:tcW w:w="0" w:type="auto"/>
          </w:tcPr>
          <w:p w:rsidR="007658B3" w:rsidRDefault="007507A7">
            <w:pPr>
              <w:pStyle w:val="Compact"/>
            </w:pPr>
            <w:r>
              <w:t>0.2656</w:t>
            </w:r>
          </w:p>
        </w:tc>
        <w:tc>
          <w:tcPr>
            <w:tcW w:w="0" w:type="auto"/>
          </w:tcPr>
          <w:p w:rsidR="007658B3" w:rsidRDefault="007507A7">
            <w:pPr>
              <w:pStyle w:val="Compact"/>
            </w:pPr>
            <w:r>
              <w:t>-49.08</w:t>
            </w:r>
          </w:p>
        </w:tc>
      </w:tr>
      <w:tr w:rsidR="007658B3">
        <w:tc>
          <w:tcPr>
            <w:tcW w:w="0" w:type="auto"/>
          </w:tcPr>
          <w:p w:rsidR="007658B3" w:rsidRDefault="007507A7">
            <w:pPr>
              <w:pStyle w:val="Compact"/>
            </w:pPr>
            <w:r>
              <w:t>y&gt;=R</w:t>
            </w:r>
          </w:p>
        </w:tc>
        <w:tc>
          <w:tcPr>
            <w:tcW w:w="0" w:type="auto"/>
          </w:tcPr>
          <w:p w:rsidR="007658B3" w:rsidRDefault="007507A7">
            <w:pPr>
              <w:pStyle w:val="Compact"/>
            </w:pPr>
            <w:r>
              <w:t>-15.9055</w:t>
            </w:r>
          </w:p>
        </w:tc>
        <w:tc>
          <w:tcPr>
            <w:tcW w:w="0" w:type="auto"/>
          </w:tcPr>
          <w:p w:rsidR="007658B3" w:rsidRDefault="007507A7">
            <w:pPr>
              <w:pStyle w:val="Compact"/>
            </w:pPr>
            <w:r>
              <w:t>0.2785</w:t>
            </w:r>
          </w:p>
        </w:tc>
        <w:tc>
          <w:tcPr>
            <w:tcW w:w="0" w:type="auto"/>
          </w:tcPr>
          <w:p w:rsidR="007658B3" w:rsidRDefault="007507A7">
            <w:pPr>
              <w:pStyle w:val="Compact"/>
            </w:pPr>
            <w:r>
              <w:t>-57.12</w:t>
            </w:r>
          </w:p>
        </w:tc>
      </w:tr>
      <w:tr w:rsidR="007658B3">
        <w:tc>
          <w:tcPr>
            <w:tcW w:w="0" w:type="auto"/>
          </w:tcPr>
          <w:p w:rsidR="007658B3" w:rsidRDefault="007507A7">
            <w:pPr>
              <w:pStyle w:val="Compact"/>
            </w:pPr>
            <w:r>
              <w:t>hzdept</w:t>
            </w:r>
          </w:p>
        </w:tc>
        <w:tc>
          <w:tcPr>
            <w:tcW w:w="0" w:type="auto"/>
          </w:tcPr>
          <w:p w:rsidR="007658B3" w:rsidRDefault="007507A7">
            <w:pPr>
              <w:pStyle w:val="Compact"/>
            </w:pPr>
            <w:r>
              <w:t>0.2513</w:t>
            </w:r>
          </w:p>
        </w:tc>
        <w:tc>
          <w:tcPr>
            <w:tcW w:w="0" w:type="auto"/>
          </w:tcPr>
          <w:p w:rsidR="007658B3" w:rsidRDefault="007507A7">
            <w:pPr>
              <w:pStyle w:val="Compact"/>
            </w:pPr>
            <w:r>
              <w:t>0.0077</w:t>
            </w:r>
          </w:p>
        </w:tc>
        <w:tc>
          <w:tcPr>
            <w:tcW w:w="0" w:type="auto"/>
          </w:tcPr>
          <w:p w:rsidR="007658B3" w:rsidRDefault="007507A7">
            <w:pPr>
              <w:pStyle w:val="Compact"/>
            </w:pPr>
            <w:r>
              <w:t>32.78</w:t>
            </w:r>
          </w:p>
        </w:tc>
      </w:tr>
      <w:tr w:rsidR="007658B3">
        <w:tc>
          <w:tcPr>
            <w:tcW w:w="0" w:type="auto"/>
          </w:tcPr>
          <w:p w:rsidR="007658B3" w:rsidRDefault="007507A7">
            <w:pPr>
              <w:pStyle w:val="Compact"/>
            </w:pPr>
            <w:r>
              <w:t>hzdept'</w:t>
            </w:r>
          </w:p>
        </w:tc>
        <w:tc>
          <w:tcPr>
            <w:tcW w:w="0" w:type="auto"/>
          </w:tcPr>
          <w:p w:rsidR="007658B3" w:rsidRDefault="007507A7">
            <w:pPr>
              <w:pStyle w:val="Compact"/>
            </w:pPr>
            <w:r>
              <w:t>-0.3356</w:t>
            </w:r>
          </w:p>
        </w:tc>
        <w:tc>
          <w:tcPr>
            <w:tcW w:w="0" w:type="auto"/>
          </w:tcPr>
          <w:p w:rsidR="007658B3" w:rsidRDefault="007507A7">
            <w:pPr>
              <w:pStyle w:val="Compact"/>
            </w:pPr>
            <w:r>
              <w:t>0.0304</w:t>
            </w:r>
          </w:p>
        </w:tc>
        <w:tc>
          <w:tcPr>
            <w:tcW w:w="0" w:type="auto"/>
          </w:tcPr>
          <w:p w:rsidR="007658B3" w:rsidRDefault="007507A7">
            <w:pPr>
              <w:pStyle w:val="Compact"/>
            </w:pPr>
            <w:r>
              <w:t>-11.03</w:t>
            </w:r>
          </w:p>
        </w:tc>
      </w:tr>
      <w:tr w:rsidR="007658B3">
        <w:tc>
          <w:tcPr>
            <w:tcW w:w="0" w:type="auto"/>
          </w:tcPr>
          <w:p w:rsidR="007658B3" w:rsidRDefault="007507A7">
            <w:pPr>
              <w:pStyle w:val="Compact"/>
            </w:pPr>
            <w:r>
              <w:t>hzdept''</w:t>
            </w:r>
          </w:p>
        </w:tc>
        <w:tc>
          <w:tcPr>
            <w:tcW w:w="0" w:type="auto"/>
          </w:tcPr>
          <w:p w:rsidR="007658B3" w:rsidRDefault="007507A7">
            <w:pPr>
              <w:pStyle w:val="Compact"/>
            </w:pPr>
            <w:r>
              <w:t>0.6957</w:t>
            </w:r>
          </w:p>
        </w:tc>
        <w:tc>
          <w:tcPr>
            <w:tcW w:w="0" w:type="auto"/>
          </w:tcPr>
          <w:p w:rsidR="007658B3" w:rsidRDefault="007507A7">
            <w:pPr>
              <w:pStyle w:val="Compact"/>
            </w:pPr>
            <w:r>
              <w:t>0.0806</w:t>
            </w:r>
          </w:p>
        </w:tc>
        <w:tc>
          <w:tcPr>
            <w:tcW w:w="0" w:type="auto"/>
          </w:tcPr>
          <w:p w:rsidR="007658B3" w:rsidRDefault="007507A7">
            <w:pPr>
              <w:pStyle w:val="Compact"/>
            </w:pPr>
            <w:r>
              <w:t>8.63</w:t>
            </w:r>
          </w:p>
        </w:tc>
      </w:tr>
    </w:tbl>
    <w:p w:rsidR="007658B3" w:rsidRDefault="007658B3"/>
    <w:p w:rsidR="007658B3" w:rsidRDefault="007507A7">
      <w:pPr>
        <w:pStyle w:val="Heading2"/>
      </w:pPr>
      <w:bookmarkStart w:id="14" w:name="model-stability"/>
      <w:r>
        <w:t>Model Stability</w:t>
      </w:r>
    </w:p>
    <w:bookmarkEnd w:id="14"/>
    <w:p w:rsidR="007658B3" w:rsidRDefault="007507A7">
      <w:r>
        <w:t>Predictions from the 250 models were then combined and visualized below.</w:t>
      </w:r>
    </w:p>
    <w:p w:rsidR="00906301" w:rsidRDefault="00906301" w:rsidP="00906301">
      <w:pPr>
        <w:keepNext/>
      </w:pPr>
      <w:r>
        <w:rPr>
          <w:noProof/>
        </w:rPr>
        <w:lastRenderedPageBreak/>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Pr>
            <w:noProof/>
          </w:rPr>
          <w:t>7</w:t>
        </w:r>
      </w:fldSimple>
      <w:r>
        <w:t xml:space="preserve">. </w:t>
      </w:r>
      <w:r w:rsidRPr="00BA53AD">
        <w:t>Predicted GHL probability depth-functions from 250 iterations of model fitting, based on a reduced training dataset.</w:t>
      </w:r>
    </w:p>
    <w:p w:rsidR="007658B3" w:rsidRDefault="007507A7">
      <w:pPr>
        <w:pStyle w:val="Heading1"/>
      </w:pPr>
      <w:bookmarkStart w:id="15" w:name="conclusions"/>
      <w:r>
        <w:t>Conclusions</w:t>
      </w:r>
    </w:p>
    <w:bookmarkEnd w:id="15"/>
    <w:p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lastRenderedPageBreak/>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6" w:name="future-work"/>
      <w:r>
        <w:t>Future Work</w:t>
      </w:r>
    </w:p>
    <w:bookmarkEnd w:id="16"/>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7" w:name="references"/>
      <w:r>
        <w:t>References</w:t>
      </w:r>
    </w:p>
    <w:bookmarkEnd w:id="17"/>
    <w:p w:rsidR="007658B3" w:rsidRDefault="007507A7">
      <w:r>
        <w:t xml:space="preserve">Beaudette, D.E., and J.M. Skovlin. 2015. </w:t>
      </w:r>
      <w:r>
        <w:rPr>
          <w:i/>
        </w:rPr>
        <w:t>soilDB: Soil Database Interface</w:t>
      </w:r>
      <w:r>
        <w:t xml:space="preserve">. </w:t>
      </w:r>
      <w:hyperlink r:id="rId14">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r>
        <w:rPr>
          <w:i/>
        </w:rPr>
        <w:t>Geoderma</w:t>
      </w:r>
      <w:r>
        <w:t xml:space="preserve"> 230–231: 305–317. doi:</w:t>
      </w:r>
      <w:hyperlink r:id="rId15">
        <w:r>
          <w:rPr>
            <w:rStyle w:val="Link"/>
          </w:rPr>
          <w:t>http://dx.doi.org/10.1016/j.geoderma.2014.03.008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7">
        <w:r>
          <w:rPr>
            <w:rStyle w:val="Link"/>
          </w:rPr>
          <w:t>http://dx.doi.org/10.1016/j.geoderma.2011.01.010</w:t>
        </w:r>
      </w:hyperlink>
      <w:r>
        <w:t xml:space="preserve">. </w:t>
      </w:r>
      <w:hyperlink r:id="rId18">
        <w:r>
          <w:rPr>
            <w:rStyle w:val="Link"/>
          </w:rPr>
          <w:t>http://www.sciencedirect.com/science/article/pii/S001670611100019X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19">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rsidR="007658B3" w:rsidRDefault="007507A7">
      <w:r>
        <w:lastRenderedPageBreak/>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D1396"/>
    <w:rsid w:val="003B2468"/>
    <w:rsid w:val="003F12A2"/>
    <w:rsid w:val="0049459A"/>
    <w:rsid w:val="004E29B3"/>
    <w:rsid w:val="00590D07"/>
    <w:rsid w:val="005D5D60"/>
    <w:rsid w:val="006B6C9A"/>
    <w:rsid w:val="006C3B0D"/>
    <w:rsid w:val="006D2E06"/>
    <w:rsid w:val="007507A7"/>
    <w:rsid w:val="007658B3"/>
    <w:rsid w:val="00784D58"/>
    <w:rsid w:val="00796C60"/>
    <w:rsid w:val="00847AA1"/>
    <w:rsid w:val="00861269"/>
    <w:rsid w:val="008D6863"/>
    <w:rsid w:val="00906301"/>
    <w:rsid w:val="00944612"/>
    <w:rsid w:val="00A43A4A"/>
    <w:rsid w:val="00A46D8C"/>
    <w:rsid w:val="00AC38E7"/>
    <w:rsid w:val="00B37737"/>
    <w:rsid w:val="00B737E5"/>
    <w:rsid w:val="00B86B75"/>
    <w:rsid w:val="00BC48D5"/>
    <w:rsid w:val="00C236B5"/>
    <w:rsid w:val="00C36279"/>
    <w:rsid w:val="00C96CE0"/>
    <w:rsid w:val="00DF6761"/>
    <w:rsid w:val="00E0213B"/>
    <w:rsid w:val="00E04BC8"/>
    <w:rsid w:val="00E30217"/>
    <w:rsid w:val="00E315A3"/>
    <w:rsid w:val="00E537A4"/>
    <w:rsid w:val="00EE6E15"/>
    <w:rsid w:val="00EF4F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02"/>
    <w:pPr>
      <w:spacing w:before="180" w:after="180"/>
    </w:pPr>
    <w:rPr>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31</cp:revision>
  <dcterms:created xsi:type="dcterms:W3CDTF">2015-08-03T22:50:00Z</dcterms:created>
  <dcterms:modified xsi:type="dcterms:W3CDTF">2015-08-04T23:17:00Z</dcterms:modified>
</cp:coreProperties>
</file>