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879973"/>
        <w:docPartObj>
          <w:docPartGallery w:val="Cover Pages"/>
          <w:docPartUnique/>
        </w:docPartObj>
      </w:sdtPr>
      <w:sdtContent>
        <w:p w14:paraId="250E6A2E" w14:textId="6ED72775" w:rsidR="0048041D" w:rsidRDefault="0048041D">
          <w:r>
            <w:rPr>
              <w:noProof/>
            </w:rPr>
            <mc:AlternateContent>
              <mc:Choice Requires="wps">
                <w:drawing>
                  <wp:anchor distT="0" distB="0" distL="114300" distR="114300" simplePos="0" relativeHeight="251659264" behindDoc="0" locked="0" layoutInCell="1" allowOverlap="1" wp14:anchorId="2DF6425C" wp14:editId="556E689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10302844"/>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302844"/>
                            </a:xfrm>
                            <a:prstGeom prst="rect">
                              <a:avLst/>
                            </a:prstGeom>
                            <a:solidFill>
                              <a:schemeClr val="accent1"/>
                            </a:solidFill>
                            <a:ln>
                              <a:noFill/>
                            </a:ln>
                          </wps:spPr>
                          <wps:txbx>
                            <w:txbxContent>
                              <w:sdt>
                                <w:sdtPr>
                                  <w:rPr>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9474240" w14:textId="79E96C7C" w:rsidR="0048041D" w:rsidRDefault="0048041D">
                                    <w:pPr>
                                      <w:pStyle w:val="Title"/>
                                      <w:jc w:val="right"/>
                                      <w:rPr>
                                        <w:caps/>
                                        <w:color w:val="FFFFFF" w:themeColor="background1"/>
                                        <w:sz w:val="80"/>
                                        <w:szCs w:val="80"/>
                                      </w:rPr>
                                    </w:pPr>
                                    <w:r w:rsidRPr="00F51AC1">
                                      <w:rPr>
                                        <w:b/>
                                        <w:bCs/>
                                        <w:caps/>
                                        <w:color w:val="FFFFFF" w:themeColor="background1"/>
                                        <w:sz w:val="80"/>
                                        <w:szCs w:val="80"/>
                                      </w:rPr>
                                      <w:t>An Economic Analysis of the UK Football Transfer Market Since 1992</w:t>
                                    </w:r>
                                  </w:p>
                                </w:sdtContent>
                              </w:sdt>
                              <w:p w14:paraId="5DC547F2" w14:textId="77777777" w:rsidR="0048041D" w:rsidRDefault="0048041D">
                                <w:pPr>
                                  <w:spacing w:before="240"/>
                                  <w:ind w:left="720"/>
                                  <w:jc w:val="right"/>
                                  <w:rPr>
                                    <w:color w:val="FFFFFF" w:themeColor="background1"/>
                                  </w:rPr>
                                </w:pPr>
                              </w:p>
                              <w:p w14:paraId="1C9AD4C3" w14:textId="25330AF1" w:rsidR="00663646" w:rsidRDefault="002A5417" w:rsidP="004155E2">
                                <w:pPr>
                                  <w:spacing w:before="240"/>
                                  <w:ind w:left="1008"/>
                                  <w:jc w:val="right"/>
                                  <w:rPr>
                                    <w:color w:val="FFFFFF" w:themeColor="background1"/>
                                    <w:sz w:val="28"/>
                                    <w:szCs w:val="28"/>
                                  </w:rPr>
                                </w:pPr>
                                <w:r>
                                  <w:rPr>
                                    <w:color w:val="FFFFFF" w:themeColor="background1"/>
                                    <w:sz w:val="28"/>
                                    <w:szCs w:val="28"/>
                                  </w:rPr>
                                  <w:t>Programming for Business Analytics</w:t>
                                </w:r>
                              </w:p>
                              <w:p w14:paraId="14FC9CF1" w14:textId="4CA3CB74" w:rsidR="002A5417" w:rsidRPr="004155E2" w:rsidRDefault="00507D4F" w:rsidP="00507D4F">
                                <w:pPr>
                                  <w:spacing w:before="240"/>
                                  <w:ind w:left="1008"/>
                                  <w:jc w:val="right"/>
                                  <w:rPr>
                                    <w:color w:val="FFFFFF" w:themeColor="background1"/>
                                    <w:sz w:val="28"/>
                                    <w:szCs w:val="28"/>
                                  </w:rPr>
                                </w:pPr>
                                <w:r w:rsidRPr="00507D4F">
                                  <w:rPr>
                                    <w:color w:val="FFFFFF" w:themeColor="background1"/>
                                    <w:sz w:val="28"/>
                                    <w:szCs w:val="28"/>
                                  </w:rPr>
                                  <w:t>24BSB014</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2DF6425C" id="Rectangle 16" o:spid="_x0000_s1026" style="position:absolute;margin-left:0;margin-top:0;width:422.3pt;height:811.25pt;z-index:251659264;visibility:visible;mso-wrap-style:square;mso-width-percent:690;mso-height-percent:0;mso-left-percent:20;mso-top-percent:20;mso-wrap-distance-left:9pt;mso-wrap-distance-top:0;mso-wrap-distance-right:9pt;mso-wrap-distance-bottom:0;mso-position-horizontal-relative:page;mso-position-vertical-relative:page;mso-width-percent:690;mso-height-percent: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" fillcolor="#156082 [3204]" stroked="f">
                    <v:textbox inset="21.6pt,1in,21.6pt">
                      <w:txbxContent>
                        <w:sdt>
                          <w:sdtPr>
                            <w:rPr>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9474240" w14:textId="79E96C7C" w:rsidR="0048041D" w:rsidRDefault="0048041D">
                              <w:pPr>
                                <w:pStyle w:val="Title"/>
                                <w:jc w:val="right"/>
                                <w:rPr>
                                  <w:caps/>
                                  <w:color w:val="FFFFFF" w:themeColor="background1"/>
                                  <w:sz w:val="80"/>
                                  <w:szCs w:val="80"/>
                                </w:rPr>
                              </w:pPr>
                              <w:r w:rsidRPr="00F51AC1">
                                <w:rPr>
                                  <w:b/>
                                  <w:bCs/>
                                  <w:caps/>
                                  <w:color w:val="FFFFFF" w:themeColor="background1"/>
                                  <w:sz w:val="80"/>
                                  <w:szCs w:val="80"/>
                                </w:rPr>
                                <w:t>An Economic Analysis of the UK Football Transfer Market Since 1992</w:t>
                              </w:r>
                            </w:p>
                          </w:sdtContent>
                        </w:sdt>
                        <w:p w14:paraId="5DC547F2" w14:textId="77777777" w:rsidR="0048041D" w:rsidRDefault="0048041D">
                          <w:pPr>
                            <w:spacing w:before="240"/>
                            <w:ind w:left="720"/>
                            <w:jc w:val="right"/>
                            <w:rPr>
                              <w:color w:val="FFFFFF" w:themeColor="background1"/>
                            </w:rPr>
                          </w:pPr>
                        </w:p>
                        <w:p w14:paraId="1C9AD4C3" w14:textId="25330AF1" w:rsidR="00663646" w:rsidRDefault="002A5417" w:rsidP="004155E2">
                          <w:pPr>
                            <w:spacing w:before="240"/>
                            <w:ind w:left="1008"/>
                            <w:jc w:val="right"/>
                            <w:rPr>
                              <w:color w:val="FFFFFF" w:themeColor="background1"/>
                              <w:sz w:val="28"/>
                              <w:szCs w:val="28"/>
                            </w:rPr>
                          </w:pPr>
                          <w:r>
                            <w:rPr>
                              <w:color w:val="FFFFFF" w:themeColor="background1"/>
                              <w:sz w:val="28"/>
                              <w:szCs w:val="28"/>
                            </w:rPr>
                            <w:t>Programming for Business Analytics</w:t>
                          </w:r>
                        </w:p>
                        <w:p w14:paraId="14FC9CF1" w14:textId="4CA3CB74" w:rsidR="002A5417" w:rsidRPr="004155E2" w:rsidRDefault="00507D4F" w:rsidP="00507D4F">
                          <w:pPr>
                            <w:spacing w:before="240"/>
                            <w:ind w:left="1008"/>
                            <w:jc w:val="right"/>
                            <w:rPr>
                              <w:color w:val="FFFFFF" w:themeColor="background1"/>
                              <w:sz w:val="28"/>
                              <w:szCs w:val="28"/>
                            </w:rPr>
                          </w:pPr>
                          <w:r w:rsidRPr="00507D4F">
                            <w:rPr>
                              <w:color w:val="FFFFFF" w:themeColor="background1"/>
                              <w:sz w:val="28"/>
                              <w:szCs w:val="28"/>
                            </w:rPr>
                            <w:t>24BSB014</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7A8ABF1" wp14:editId="6CD8FC6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3D85BF4" w14:textId="02A27DFB" w:rsidR="0048041D" w:rsidRDefault="008958AB">
                                    <w:pPr>
                                      <w:pStyle w:val="Subtitle"/>
                                      <w:rPr>
                                        <w:rFonts w:cstheme="minorBidi"/>
                                        <w:color w:val="FFFFFF" w:themeColor="background1"/>
                                      </w:rPr>
                                    </w:pPr>
                                    <w:r w:rsidRPr="008958AB">
                                      <w:rPr>
                                        <w:rFonts w:cstheme="minorBidi"/>
                                        <w:color w:val="FFFFFF" w:themeColor="background1"/>
                                      </w:rPr>
                                      <w:t>Investigating the Impact of Inflation and Economic Growth on Transfer Spending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7A8ABF1"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3D85BF4" w14:textId="02A27DFB" w:rsidR="0048041D" w:rsidRDefault="008958AB">
                              <w:pPr>
                                <w:pStyle w:val="Subtitle"/>
                                <w:rPr>
                                  <w:rFonts w:cstheme="minorBidi"/>
                                  <w:color w:val="FFFFFF" w:themeColor="background1"/>
                                </w:rPr>
                              </w:pPr>
                              <w:r w:rsidRPr="008958AB">
                                <w:rPr>
                                  <w:rFonts w:cstheme="minorBidi"/>
                                  <w:color w:val="FFFFFF" w:themeColor="background1"/>
                                </w:rPr>
                                <w:t>Investigating the Impact of Inflation and Economic Growth on Transfer Spending</w:t>
                              </w:r>
                            </w:p>
                          </w:sdtContent>
                        </w:sdt>
                      </w:txbxContent>
                    </v:textbox>
                    <w10:wrap anchorx="page" anchory="page"/>
                  </v:rect>
                </w:pict>
              </mc:Fallback>
            </mc:AlternateContent>
          </w:r>
        </w:p>
        <w:p w14:paraId="350C250D" w14:textId="77777777" w:rsidR="0048041D" w:rsidRDefault="0048041D"/>
        <w:p w14:paraId="4210B75A" w14:textId="40F96D68" w:rsidR="0048041D" w:rsidRDefault="0048041D">
          <w:r>
            <w:br w:type="page"/>
          </w:r>
        </w:p>
      </w:sdtContent>
    </w:sdt>
    <w:p w14:paraId="49293665" w14:textId="5DCE3B91" w:rsidR="00006AE2" w:rsidRPr="0031066F" w:rsidRDefault="00DC1E02" w:rsidP="0057770A">
      <w:pPr>
        <w:jc w:val="center"/>
        <w:rPr>
          <w:b/>
          <w:bCs/>
          <w:sz w:val="36"/>
          <w:szCs w:val="36"/>
          <w:u w:val="single"/>
        </w:rPr>
      </w:pPr>
      <w:r w:rsidRPr="00617213">
        <w:rPr>
          <w:b/>
          <w:bCs/>
          <w:sz w:val="36"/>
          <w:szCs w:val="36"/>
          <w:u w:val="single"/>
        </w:rPr>
        <w:lastRenderedPageBreak/>
        <w:t>Introduction</w:t>
      </w:r>
    </w:p>
    <w:p w14:paraId="3BEDFC99" w14:textId="77777777" w:rsidR="00D11509" w:rsidRPr="00652F47" w:rsidRDefault="00267BC2" w:rsidP="00794068">
      <w:pPr>
        <w:keepNext/>
        <w:rPr>
          <w:sz w:val="26"/>
          <w:szCs w:val="26"/>
        </w:rPr>
      </w:pPr>
      <w:r w:rsidRPr="00652F47">
        <w:rPr>
          <w:sz w:val="26"/>
          <w:szCs w:val="26"/>
        </w:rPr>
        <w:t>Football transfer spending in the United Kingdom has attracted global attention, particularly with the dramatic escalation observed since the inception of the Premier League in 1992. At first glance, nominal transfer fees have increased exponentially</w:t>
      </w:r>
      <w:r w:rsidR="004B43B9" w:rsidRPr="00652F47">
        <w:rPr>
          <w:sz w:val="26"/>
          <w:szCs w:val="26"/>
        </w:rPr>
        <w:t xml:space="preserve"> as seen in fi</w:t>
      </w:r>
      <w:r w:rsidR="00A77D34" w:rsidRPr="00652F47">
        <w:rPr>
          <w:sz w:val="26"/>
          <w:szCs w:val="26"/>
        </w:rPr>
        <w:t>gure 1</w:t>
      </w:r>
      <w:r w:rsidRPr="00652F47">
        <w:rPr>
          <w:sz w:val="26"/>
          <w:szCs w:val="26"/>
        </w:rPr>
        <w:t xml:space="preserve">, yet this raw growth figure does not tell the full story. The central question arises: </w:t>
      </w:r>
      <w:r w:rsidRPr="00652F47">
        <w:rPr>
          <w:b/>
          <w:bCs/>
          <w:sz w:val="26"/>
          <w:szCs w:val="26"/>
        </w:rPr>
        <w:t>Is the surge in transfer fees merely a product of general inflation, or does it reflect a fundamental, real increase in clubs' spending power?</w:t>
      </w:r>
      <w:r w:rsidRPr="00652F47">
        <w:rPr>
          <w:sz w:val="26"/>
          <w:szCs w:val="26"/>
        </w:rPr>
        <w:t xml:space="preserve"> </w:t>
      </w:r>
    </w:p>
    <w:p w14:paraId="30F7A150" w14:textId="124353AE" w:rsidR="00794068" w:rsidRDefault="0094703C" w:rsidP="00220B41">
      <w:pPr>
        <w:keepNext/>
        <w:jc w:val="center"/>
      </w:pPr>
      <w:r>
        <w:rPr>
          <w:noProof/>
        </w:rPr>
        <w:drawing>
          <wp:inline distT="0" distB="0" distL="0" distR="0" wp14:anchorId="5B7CCC76" wp14:editId="3A8B3CF9">
            <wp:extent cx="4598598" cy="3186820"/>
            <wp:effectExtent l="0" t="0" r="0" b="0"/>
            <wp:docPr id="18504030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03028" name="Picture 1" descr="A graph with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394" cy="3199846"/>
                    </a:xfrm>
                    <a:prstGeom prst="rect">
                      <a:avLst/>
                    </a:prstGeom>
                    <a:noFill/>
                    <a:ln>
                      <a:noFill/>
                    </a:ln>
                  </pic:spPr>
                </pic:pic>
              </a:graphicData>
            </a:graphic>
          </wp:inline>
        </w:drawing>
      </w:r>
    </w:p>
    <w:p w14:paraId="2DA04BC1" w14:textId="6A7FAB3B" w:rsidR="00A17F7C" w:rsidRPr="00A17F7C" w:rsidRDefault="00794068" w:rsidP="00794068">
      <w:pPr>
        <w:pStyle w:val="Caption"/>
        <w:rPr>
          <w:sz w:val="32"/>
          <w:szCs w:val="32"/>
        </w:rPr>
      </w:pPr>
      <w:r w:rsidRPr="00794068">
        <w:rPr>
          <w:sz w:val="20"/>
          <w:szCs w:val="20"/>
        </w:rPr>
        <w:t xml:space="preserve">Figure </w:t>
      </w:r>
      <w:r w:rsidRPr="00794068">
        <w:rPr>
          <w:sz w:val="20"/>
          <w:szCs w:val="20"/>
        </w:rPr>
        <w:fldChar w:fldCharType="begin"/>
      </w:r>
      <w:r w:rsidRPr="00794068">
        <w:rPr>
          <w:sz w:val="20"/>
          <w:szCs w:val="20"/>
        </w:rPr>
        <w:instrText xml:space="preserve"> SEQ Figure \* ARABIC </w:instrText>
      </w:r>
      <w:r w:rsidRPr="00794068">
        <w:rPr>
          <w:sz w:val="20"/>
          <w:szCs w:val="20"/>
        </w:rPr>
        <w:fldChar w:fldCharType="separate"/>
      </w:r>
      <w:r w:rsidR="00613978">
        <w:rPr>
          <w:noProof/>
          <w:sz w:val="20"/>
          <w:szCs w:val="20"/>
        </w:rPr>
        <w:t>1</w:t>
      </w:r>
      <w:r w:rsidRPr="00794068">
        <w:rPr>
          <w:sz w:val="20"/>
          <w:szCs w:val="20"/>
        </w:rPr>
        <w:fldChar w:fldCharType="end"/>
      </w:r>
    </w:p>
    <w:p w14:paraId="759C4A83" w14:textId="118ED382" w:rsidR="000A270F" w:rsidRPr="00652F47" w:rsidRDefault="000A270F" w:rsidP="000A270F">
      <w:pPr>
        <w:rPr>
          <w:sz w:val="26"/>
          <w:szCs w:val="26"/>
        </w:rPr>
      </w:pPr>
      <w:r w:rsidRPr="00652F47">
        <w:rPr>
          <w:sz w:val="26"/>
          <w:szCs w:val="26"/>
        </w:rPr>
        <w:t>The aim</w:t>
      </w:r>
      <w:r w:rsidR="00EA1322">
        <w:rPr>
          <w:sz w:val="26"/>
          <w:szCs w:val="26"/>
        </w:rPr>
        <w:t xml:space="preserve"> of this report</w:t>
      </w:r>
      <w:r w:rsidRPr="00652F47">
        <w:rPr>
          <w:sz w:val="26"/>
          <w:szCs w:val="26"/>
        </w:rPr>
        <w:t xml:space="preserve"> is to analyse how UK football transfer expenditure has evolved in real terms, adjusted for inflation using </w:t>
      </w:r>
      <w:r w:rsidR="005E45C4" w:rsidRPr="00652F47">
        <w:rPr>
          <w:sz w:val="26"/>
          <w:szCs w:val="26"/>
        </w:rPr>
        <w:t>a constructed</w:t>
      </w:r>
      <w:r w:rsidRPr="00652F47">
        <w:rPr>
          <w:sz w:val="26"/>
          <w:szCs w:val="26"/>
        </w:rPr>
        <w:t xml:space="preserve"> Consumer Price Index (CPI) and to assess its relationship with UK GDP over time. This allows for a more accurate picture of market behaviour by distinguishing between nominal and real growth.</w:t>
      </w:r>
    </w:p>
    <w:p w14:paraId="07E3884B" w14:textId="508EA671" w:rsidR="000A270F" w:rsidRPr="00652F47" w:rsidRDefault="000A270F" w:rsidP="000A270F">
      <w:pPr>
        <w:rPr>
          <w:sz w:val="26"/>
          <w:szCs w:val="26"/>
        </w:rPr>
      </w:pPr>
      <w:r w:rsidRPr="00652F47">
        <w:rPr>
          <w:sz w:val="26"/>
          <w:szCs w:val="26"/>
        </w:rPr>
        <w:t>To do this, historical transfer data was merged with economic indicators such as yearly inflation rates and quarterly GDP figures. The data was cleaned and transformed, enabling comparisons between seasons, clubs</w:t>
      </w:r>
      <w:r w:rsidR="00656CCE" w:rsidRPr="00652F47">
        <w:rPr>
          <w:sz w:val="26"/>
          <w:szCs w:val="26"/>
        </w:rPr>
        <w:t xml:space="preserve"> </w:t>
      </w:r>
      <w:r w:rsidRPr="00652F47">
        <w:rPr>
          <w:sz w:val="26"/>
          <w:szCs w:val="26"/>
        </w:rPr>
        <w:t>and broader financial trends. The study also focuses on the “Big Six” clubs to ensure consistency in club presence across seasons.</w:t>
      </w:r>
    </w:p>
    <w:p w14:paraId="3EF04CBC" w14:textId="3ABFCBDF" w:rsidR="000A270F" w:rsidRPr="00652F47" w:rsidRDefault="000A270F" w:rsidP="000A270F">
      <w:pPr>
        <w:rPr>
          <w:sz w:val="26"/>
          <w:szCs w:val="26"/>
        </w:rPr>
      </w:pPr>
      <w:r w:rsidRPr="00652F47">
        <w:rPr>
          <w:sz w:val="26"/>
          <w:szCs w:val="26"/>
        </w:rPr>
        <w:t xml:space="preserve">While the analysis is robust, some limitations remain. Not all financial data is </w:t>
      </w:r>
      <w:r w:rsidR="003F67CD" w:rsidRPr="00652F47">
        <w:rPr>
          <w:sz w:val="26"/>
          <w:szCs w:val="26"/>
        </w:rPr>
        <w:t>available,</w:t>
      </w:r>
      <w:r w:rsidRPr="00652F47">
        <w:rPr>
          <w:sz w:val="26"/>
          <w:szCs w:val="26"/>
        </w:rPr>
        <w:t xml:space="preserve"> and this report does not account for revenues from broadcasting or commercial deals. Still, the findings provide valuable insights into the drivers behind football’s ever-increasing spending.</w:t>
      </w:r>
    </w:p>
    <w:p w14:paraId="7E26032E" w14:textId="77777777" w:rsidR="00F97DA8" w:rsidRPr="006512F4" w:rsidRDefault="00F97DA8" w:rsidP="006512F4">
      <w:pPr>
        <w:rPr>
          <w:sz w:val="28"/>
          <w:szCs w:val="28"/>
        </w:rPr>
      </w:pPr>
    </w:p>
    <w:p w14:paraId="0688651F" w14:textId="06B104BB" w:rsidR="00A50B50" w:rsidRDefault="00A50B50" w:rsidP="0057770A">
      <w:pPr>
        <w:jc w:val="center"/>
        <w:rPr>
          <w:b/>
          <w:bCs/>
          <w:sz w:val="36"/>
          <w:szCs w:val="36"/>
          <w:u w:val="single"/>
        </w:rPr>
      </w:pPr>
      <w:r>
        <w:rPr>
          <w:b/>
          <w:bCs/>
          <w:sz w:val="36"/>
          <w:szCs w:val="36"/>
          <w:u w:val="single"/>
        </w:rPr>
        <w:t>Data Collection</w:t>
      </w:r>
    </w:p>
    <w:p w14:paraId="4A0CEBF3" w14:textId="2B415ECD" w:rsidR="00542FFC" w:rsidRPr="00652F47" w:rsidRDefault="00542FFC" w:rsidP="00542FFC">
      <w:pPr>
        <w:rPr>
          <w:sz w:val="26"/>
          <w:szCs w:val="26"/>
        </w:rPr>
      </w:pPr>
      <w:r w:rsidRPr="00652F47">
        <w:rPr>
          <w:sz w:val="26"/>
          <w:szCs w:val="26"/>
        </w:rPr>
        <w:t>To investigate whether the growth in football transfer fees reflects true market expansion or is primarily influenced by economic factors such as inflation and GDP, several datasets were sourced and processed for analysis.</w:t>
      </w:r>
    </w:p>
    <w:p w14:paraId="271FB205" w14:textId="77777777" w:rsidR="00E174A9" w:rsidRPr="00E174A9" w:rsidRDefault="00E174A9" w:rsidP="00E174A9">
      <w:pPr>
        <w:rPr>
          <w:b/>
          <w:bCs/>
          <w:color w:val="000000" w:themeColor="text1"/>
          <w:sz w:val="32"/>
          <w:szCs w:val="32"/>
        </w:rPr>
      </w:pPr>
      <w:r w:rsidRPr="00E174A9">
        <w:rPr>
          <w:b/>
          <w:bCs/>
          <w:color w:val="000000" w:themeColor="text1"/>
          <w:sz w:val="32"/>
          <w:szCs w:val="32"/>
        </w:rPr>
        <w:t>Premier League Transfer Dataset</w:t>
      </w:r>
    </w:p>
    <w:p w14:paraId="05FD2EAE" w14:textId="53E5DE72" w:rsidR="00E174A9" w:rsidRPr="00E174A9" w:rsidRDefault="00E174A9" w:rsidP="00E174A9">
      <w:pPr>
        <w:rPr>
          <w:color w:val="000000" w:themeColor="text1"/>
          <w:sz w:val="26"/>
          <w:szCs w:val="26"/>
        </w:rPr>
      </w:pPr>
      <w:r w:rsidRPr="00E174A9">
        <w:rPr>
          <w:color w:val="000000" w:themeColor="text1"/>
          <w:sz w:val="26"/>
          <w:szCs w:val="26"/>
        </w:rPr>
        <w:t>The core dataset, “premier_league.csv” from Kaggle</w:t>
      </w:r>
      <w:r w:rsidR="00C26210">
        <w:rPr>
          <w:color w:val="000000" w:themeColor="text1"/>
          <w:sz w:val="26"/>
          <w:szCs w:val="26"/>
        </w:rPr>
        <w:t xml:space="preserve"> (</w:t>
      </w:r>
      <w:r w:rsidR="00362AC0">
        <w:rPr>
          <w:color w:val="000000" w:themeColor="text1"/>
          <w:sz w:val="26"/>
          <w:szCs w:val="26"/>
        </w:rPr>
        <w:t>Bhavik</w:t>
      </w:r>
      <w:r w:rsidR="00AF617D">
        <w:rPr>
          <w:color w:val="000000" w:themeColor="text1"/>
          <w:sz w:val="26"/>
          <w:szCs w:val="26"/>
        </w:rPr>
        <w:t>, 20</w:t>
      </w:r>
      <w:r w:rsidR="00D64609">
        <w:rPr>
          <w:color w:val="000000" w:themeColor="text1"/>
          <w:sz w:val="26"/>
          <w:szCs w:val="26"/>
        </w:rPr>
        <w:t>22</w:t>
      </w:r>
      <w:r w:rsidR="00C26210">
        <w:rPr>
          <w:color w:val="000000" w:themeColor="text1"/>
          <w:sz w:val="26"/>
          <w:szCs w:val="26"/>
        </w:rPr>
        <w:t>)</w:t>
      </w:r>
      <w:r w:rsidRPr="00E174A9">
        <w:rPr>
          <w:color w:val="000000" w:themeColor="text1"/>
          <w:sz w:val="26"/>
          <w:szCs w:val="26"/>
        </w:rPr>
        <w:t xml:space="preserve">, contains over 22,000 individual Premier League transfer records from the 1992/93 season onward. Key columns include </w:t>
      </w:r>
      <w:r w:rsidRPr="00652F47">
        <w:rPr>
          <w:color w:val="000000" w:themeColor="text1"/>
          <w:sz w:val="26"/>
          <w:szCs w:val="26"/>
        </w:rPr>
        <w:t>“</w:t>
      </w:r>
      <w:r w:rsidRPr="00E174A9">
        <w:rPr>
          <w:color w:val="000000" w:themeColor="text1"/>
          <w:sz w:val="26"/>
          <w:szCs w:val="26"/>
        </w:rPr>
        <w:t>club_name</w:t>
      </w:r>
      <w:r w:rsidRPr="00652F47">
        <w:rPr>
          <w:color w:val="000000" w:themeColor="text1"/>
          <w:sz w:val="26"/>
          <w:szCs w:val="26"/>
        </w:rPr>
        <w:t>”</w:t>
      </w:r>
      <w:r w:rsidRPr="00E174A9">
        <w:rPr>
          <w:color w:val="000000" w:themeColor="text1"/>
          <w:sz w:val="26"/>
          <w:szCs w:val="26"/>
        </w:rPr>
        <w:t xml:space="preserve">, </w:t>
      </w:r>
      <w:r w:rsidRPr="00652F47">
        <w:rPr>
          <w:color w:val="000000" w:themeColor="text1"/>
          <w:sz w:val="26"/>
          <w:szCs w:val="26"/>
        </w:rPr>
        <w:t>“</w:t>
      </w:r>
      <w:r w:rsidR="001A2D59" w:rsidRPr="00652F47">
        <w:rPr>
          <w:color w:val="000000" w:themeColor="text1"/>
          <w:sz w:val="26"/>
          <w:szCs w:val="26"/>
        </w:rPr>
        <w:t>transfer_movement</w:t>
      </w:r>
      <w:r w:rsidRPr="00652F47">
        <w:rPr>
          <w:color w:val="000000" w:themeColor="text1"/>
          <w:sz w:val="26"/>
          <w:szCs w:val="26"/>
        </w:rPr>
        <w:t>”</w:t>
      </w:r>
      <w:r w:rsidRPr="00E174A9">
        <w:rPr>
          <w:color w:val="000000" w:themeColor="text1"/>
          <w:sz w:val="26"/>
          <w:szCs w:val="26"/>
        </w:rPr>
        <w:t xml:space="preserve">, </w:t>
      </w:r>
      <w:r w:rsidRPr="00652F47">
        <w:rPr>
          <w:color w:val="000000" w:themeColor="text1"/>
          <w:sz w:val="26"/>
          <w:szCs w:val="26"/>
        </w:rPr>
        <w:t>“</w:t>
      </w:r>
      <w:r w:rsidRPr="00E174A9">
        <w:rPr>
          <w:color w:val="000000" w:themeColor="text1"/>
          <w:sz w:val="26"/>
          <w:szCs w:val="26"/>
        </w:rPr>
        <w:t>season</w:t>
      </w:r>
      <w:r w:rsidRPr="00652F47">
        <w:rPr>
          <w:color w:val="000000" w:themeColor="text1"/>
          <w:sz w:val="26"/>
          <w:szCs w:val="26"/>
        </w:rPr>
        <w:t>”</w:t>
      </w:r>
      <w:r w:rsidRPr="00E174A9">
        <w:rPr>
          <w:color w:val="000000" w:themeColor="text1"/>
          <w:sz w:val="26"/>
          <w:szCs w:val="26"/>
        </w:rPr>
        <w:t xml:space="preserve">, and </w:t>
      </w:r>
      <w:r w:rsidRPr="00652F47">
        <w:rPr>
          <w:color w:val="000000" w:themeColor="text1"/>
          <w:sz w:val="26"/>
          <w:szCs w:val="26"/>
        </w:rPr>
        <w:t>“</w:t>
      </w:r>
      <w:r w:rsidRPr="00E174A9">
        <w:rPr>
          <w:color w:val="000000" w:themeColor="text1"/>
          <w:sz w:val="26"/>
          <w:szCs w:val="26"/>
        </w:rPr>
        <w:t>fee_cleaned</w:t>
      </w:r>
      <w:r w:rsidRPr="00652F47">
        <w:rPr>
          <w:color w:val="000000" w:themeColor="text1"/>
          <w:sz w:val="26"/>
          <w:szCs w:val="26"/>
        </w:rPr>
        <w:t>”</w:t>
      </w:r>
      <w:r w:rsidRPr="00E174A9">
        <w:rPr>
          <w:color w:val="000000" w:themeColor="text1"/>
          <w:sz w:val="26"/>
          <w:szCs w:val="26"/>
        </w:rPr>
        <w:t>, which represents the actual numerical transfer value.</w:t>
      </w:r>
    </w:p>
    <w:p w14:paraId="5CF479EA" w14:textId="77777777" w:rsidR="00E174A9" w:rsidRPr="00E174A9" w:rsidRDefault="00E174A9" w:rsidP="00E174A9">
      <w:pPr>
        <w:rPr>
          <w:color w:val="000000" w:themeColor="text1"/>
          <w:sz w:val="26"/>
          <w:szCs w:val="26"/>
        </w:rPr>
      </w:pPr>
      <w:r w:rsidRPr="00E174A9">
        <w:rPr>
          <w:color w:val="000000" w:themeColor="text1"/>
          <w:sz w:val="26"/>
          <w:szCs w:val="26"/>
        </w:rPr>
        <w:t>Data cleaning involved several key steps:</w:t>
      </w:r>
    </w:p>
    <w:p w14:paraId="29F5E265" w14:textId="77777777" w:rsidR="00E174A9" w:rsidRPr="00E174A9" w:rsidRDefault="00E174A9" w:rsidP="00E174A9">
      <w:pPr>
        <w:numPr>
          <w:ilvl w:val="0"/>
          <w:numId w:val="3"/>
        </w:numPr>
        <w:rPr>
          <w:color w:val="000000" w:themeColor="text1"/>
          <w:sz w:val="26"/>
          <w:szCs w:val="26"/>
        </w:rPr>
      </w:pPr>
      <w:r w:rsidRPr="00E174A9">
        <w:rPr>
          <w:color w:val="000000" w:themeColor="text1"/>
          <w:sz w:val="26"/>
          <w:szCs w:val="26"/>
        </w:rPr>
        <w:t>Removing missing values to retain only complete entries.</w:t>
      </w:r>
    </w:p>
    <w:p w14:paraId="58FB151B" w14:textId="270FEA57" w:rsidR="00E174A9" w:rsidRPr="00E174A9" w:rsidRDefault="00E174A9" w:rsidP="00E174A9">
      <w:pPr>
        <w:numPr>
          <w:ilvl w:val="0"/>
          <w:numId w:val="3"/>
        </w:numPr>
        <w:rPr>
          <w:color w:val="000000" w:themeColor="text1"/>
          <w:sz w:val="26"/>
          <w:szCs w:val="26"/>
        </w:rPr>
      </w:pPr>
      <w:r w:rsidRPr="00E174A9">
        <w:rPr>
          <w:color w:val="000000" w:themeColor="text1"/>
          <w:sz w:val="26"/>
          <w:szCs w:val="26"/>
        </w:rPr>
        <w:t xml:space="preserve">Dropping irrelevant columns like </w:t>
      </w:r>
      <w:r w:rsidR="007B6E13" w:rsidRPr="00652F47">
        <w:rPr>
          <w:color w:val="000000" w:themeColor="text1"/>
          <w:sz w:val="26"/>
          <w:szCs w:val="26"/>
        </w:rPr>
        <w:t>“</w:t>
      </w:r>
      <w:r w:rsidRPr="00E174A9">
        <w:rPr>
          <w:color w:val="000000" w:themeColor="text1"/>
          <w:sz w:val="26"/>
          <w:szCs w:val="26"/>
        </w:rPr>
        <w:t>fee</w:t>
      </w:r>
      <w:r w:rsidR="007B6E13" w:rsidRPr="00652F47">
        <w:rPr>
          <w:color w:val="000000" w:themeColor="text1"/>
          <w:sz w:val="26"/>
          <w:szCs w:val="26"/>
        </w:rPr>
        <w:t>”</w:t>
      </w:r>
      <w:r w:rsidRPr="00E174A9">
        <w:rPr>
          <w:color w:val="000000" w:themeColor="text1"/>
          <w:sz w:val="26"/>
          <w:szCs w:val="26"/>
        </w:rPr>
        <w:t xml:space="preserve"> and </w:t>
      </w:r>
      <w:r w:rsidR="007B6E13" w:rsidRPr="00652F47">
        <w:rPr>
          <w:color w:val="000000" w:themeColor="text1"/>
          <w:sz w:val="26"/>
          <w:szCs w:val="26"/>
        </w:rPr>
        <w:t>“</w:t>
      </w:r>
      <w:r w:rsidRPr="00E174A9">
        <w:rPr>
          <w:color w:val="000000" w:themeColor="text1"/>
          <w:sz w:val="26"/>
          <w:szCs w:val="26"/>
        </w:rPr>
        <w:t>transfer_period</w:t>
      </w:r>
      <w:r w:rsidR="007B6E13" w:rsidRPr="00652F47">
        <w:rPr>
          <w:color w:val="000000" w:themeColor="text1"/>
          <w:sz w:val="26"/>
          <w:szCs w:val="26"/>
        </w:rPr>
        <w:t>”</w:t>
      </w:r>
      <w:r w:rsidRPr="00E174A9">
        <w:rPr>
          <w:color w:val="000000" w:themeColor="text1"/>
          <w:sz w:val="26"/>
          <w:szCs w:val="26"/>
        </w:rPr>
        <w:t>, as these were either redundant or not useful for the analysis.</w:t>
      </w:r>
    </w:p>
    <w:p w14:paraId="49EC8BDB" w14:textId="77777777" w:rsidR="009A378F" w:rsidRPr="00652F47" w:rsidRDefault="00E174A9" w:rsidP="00E174A9">
      <w:pPr>
        <w:numPr>
          <w:ilvl w:val="0"/>
          <w:numId w:val="3"/>
        </w:numPr>
        <w:rPr>
          <w:color w:val="000000" w:themeColor="text1"/>
          <w:sz w:val="26"/>
          <w:szCs w:val="26"/>
        </w:rPr>
      </w:pPr>
      <w:r w:rsidRPr="00E174A9">
        <w:rPr>
          <w:color w:val="000000" w:themeColor="text1"/>
          <w:sz w:val="26"/>
          <w:szCs w:val="26"/>
        </w:rPr>
        <w:t>Filtering only positive transfer values to exclude loans, free transfers, and youth promotions that could distort spending trends.</w:t>
      </w:r>
    </w:p>
    <w:p w14:paraId="701CF867" w14:textId="40DDB3AC" w:rsidR="00E174A9" w:rsidRPr="00E174A9" w:rsidRDefault="00E174A9" w:rsidP="009A378F">
      <w:pPr>
        <w:rPr>
          <w:color w:val="000000" w:themeColor="text1"/>
          <w:sz w:val="26"/>
          <w:szCs w:val="26"/>
        </w:rPr>
      </w:pPr>
      <w:r w:rsidRPr="00E174A9">
        <w:rPr>
          <w:color w:val="000000" w:themeColor="text1"/>
          <w:sz w:val="26"/>
          <w:szCs w:val="26"/>
        </w:rPr>
        <w:t>The cleaned dataset enabled a focused examination of how much clubs spent acquiring</w:t>
      </w:r>
      <w:r w:rsidR="007C1AA4" w:rsidRPr="00652F47">
        <w:rPr>
          <w:color w:val="000000" w:themeColor="text1"/>
          <w:sz w:val="26"/>
          <w:szCs w:val="26"/>
        </w:rPr>
        <w:t xml:space="preserve"> </w:t>
      </w:r>
      <w:r w:rsidRPr="00E174A9">
        <w:rPr>
          <w:color w:val="000000" w:themeColor="text1"/>
          <w:sz w:val="26"/>
          <w:szCs w:val="26"/>
        </w:rPr>
        <w:t>players, suitable for trend and comparative analysis.</w:t>
      </w:r>
    </w:p>
    <w:p w14:paraId="24FA9780" w14:textId="77777777" w:rsidR="007C1AA4" w:rsidRDefault="00E174A9" w:rsidP="00E174A9">
      <w:pPr>
        <w:rPr>
          <w:b/>
          <w:bCs/>
          <w:color w:val="000000" w:themeColor="text1"/>
          <w:sz w:val="32"/>
          <w:szCs w:val="32"/>
        </w:rPr>
      </w:pPr>
      <w:r w:rsidRPr="00E174A9">
        <w:rPr>
          <w:b/>
          <w:bCs/>
          <w:color w:val="000000" w:themeColor="text1"/>
          <w:sz w:val="32"/>
          <w:szCs w:val="32"/>
        </w:rPr>
        <w:t>Inflation and CPI Dataset</w:t>
      </w:r>
    </w:p>
    <w:p w14:paraId="50C47897" w14:textId="6546FCFA" w:rsidR="00E174A9" w:rsidRPr="00E174A9" w:rsidRDefault="00E174A9" w:rsidP="00E174A9">
      <w:pPr>
        <w:rPr>
          <w:b/>
          <w:bCs/>
          <w:color w:val="000000" w:themeColor="text1"/>
          <w:sz w:val="26"/>
          <w:szCs w:val="26"/>
        </w:rPr>
      </w:pPr>
      <w:r w:rsidRPr="00E174A9">
        <w:rPr>
          <w:color w:val="000000" w:themeColor="text1"/>
          <w:sz w:val="26"/>
          <w:szCs w:val="26"/>
        </w:rPr>
        <w:t>Inflation data was sourced from Kaggle</w:t>
      </w:r>
      <w:r w:rsidR="00157663">
        <w:rPr>
          <w:color w:val="000000" w:themeColor="text1"/>
          <w:sz w:val="26"/>
          <w:szCs w:val="26"/>
        </w:rPr>
        <w:t xml:space="preserve"> (Beckett</w:t>
      </w:r>
      <w:r w:rsidR="00EC6CB4">
        <w:rPr>
          <w:color w:val="000000" w:themeColor="text1"/>
          <w:sz w:val="26"/>
          <w:szCs w:val="26"/>
        </w:rPr>
        <w:t>, 2022)</w:t>
      </w:r>
      <w:r w:rsidRPr="00E174A9">
        <w:rPr>
          <w:color w:val="000000" w:themeColor="text1"/>
          <w:sz w:val="26"/>
          <w:szCs w:val="26"/>
        </w:rPr>
        <w:t xml:space="preserve"> and provided annual percentage changes in the Consumer Price Index (CPI). However, these were not absolute CPI values, so a transformation was required.</w:t>
      </w:r>
    </w:p>
    <w:p w14:paraId="1C532907" w14:textId="77777777" w:rsidR="00E174A9" w:rsidRPr="00E174A9" w:rsidRDefault="00E174A9" w:rsidP="00E174A9">
      <w:pPr>
        <w:rPr>
          <w:color w:val="000000" w:themeColor="text1"/>
          <w:sz w:val="26"/>
          <w:szCs w:val="26"/>
        </w:rPr>
      </w:pPr>
      <w:r w:rsidRPr="00E174A9">
        <w:rPr>
          <w:color w:val="000000" w:themeColor="text1"/>
          <w:sz w:val="26"/>
          <w:szCs w:val="26"/>
        </w:rPr>
        <w:t>Steps taken:</w:t>
      </w:r>
    </w:p>
    <w:p w14:paraId="3D59A1CC" w14:textId="77777777" w:rsidR="00E174A9" w:rsidRPr="00E174A9" w:rsidRDefault="00E174A9" w:rsidP="00E174A9">
      <w:pPr>
        <w:numPr>
          <w:ilvl w:val="0"/>
          <w:numId w:val="4"/>
        </w:numPr>
        <w:rPr>
          <w:color w:val="000000" w:themeColor="text1"/>
          <w:sz w:val="26"/>
          <w:szCs w:val="26"/>
        </w:rPr>
      </w:pPr>
      <w:r w:rsidRPr="00E174A9">
        <w:rPr>
          <w:color w:val="000000" w:themeColor="text1"/>
          <w:sz w:val="26"/>
          <w:szCs w:val="26"/>
        </w:rPr>
        <w:t>The dataset was chronologically ordered to preserve sequence across seasons.</w:t>
      </w:r>
    </w:p>
    <w:p w14:paraId="32A0E80D" w14:textId="033B4159" w:rsidR="00E174A9" w:rsidRPr="00E174A9" w:rsidRDefault="00E174A9" w:rsidP="00E174A9">
      <w:pPr>
        <w:numPr>
          <w:ilvl w:val="0"/>
          <w:numId w:val="4"/>
        </w:numPr>
        <w:rPr>
          <w:color w:val="000000" w:themeColor="text1"/>
          <w:sz w:val="26"/>
          <w:szCs w:val="26"/>
        </w:rPr>
      </w:pPr>
      <w:r w:rsidRPr="00E174A9">
        <w:rPr>
          <w:color w:val="000000" w:themeColor="text1"/>
          <w:sz w:val="26"/>
          <w:szCs w:val="26"/>
        </w:rPr>
        <w:t xml:space="preserve">A CPI index was constructed by compounding each year’s inflation on a base value of 100 for 1992. For instance, </w:t>
      </w:r>
      <w:r w:rsidR="001B362A" w:rsidRPr="00652F47">
        <w:rPr>
          <w:color w:val="000000" w:themeColor="text1"/>
          <w:sz w:val="26"/>
          <w:szCs w:val="26"/>
        </w:rPr>
        <w:t>the</w:t>
      </w:r>
      <w:r w:rsidRPr="00E174A9">
        <w:rPr>
          <w:color w:val="000000" w:themeColor="text1"/>
          <w:sz w:val="26"/>
          <w:szCs w:val="26"/>
        </w:rPr>
        <w:t xml:space="preserve"> inflation in 1993 was 2.6%, CPI was calculated as 100 * (1 + 0.026) = 102.6.</w:t>
      </w:r>
    </w:p>
    <w:p w14:paraId="4326E3FB" w14:textId="471214D3" w:rsidR="00E174A9" w:rsidRPr="00E174A9" w:rsidRDefault="00E174A9" w:rsidP="00E174A9">
      <w:pPr>
        <w:rPr>
          <w:color w:val="000000" w:themeColor="text1"/>
          <w:sz w:val="26"/>
          <w:szCs w:val="26"/>
        </w:rPr>
      </w:pPr>
      <w:r w:rsidRPr="00E174A9">
        <w:rPr>
          <w:color w:val="000000" w:themeColor="text1"/>
          <w:sz w:val="26"/>
          <w:szCs w:val="26"/>
        </w:rPr>
        <w:t>This new CPI series enabled the conversion of nominal transfer fees into real (inflation-adjusted) values. Without this step, comparisons over time would ignore the impact of changing prices, skewing the economic insights.</w:t>
      </w:r>
    </w:p>
    <w:p w14:paraId="78C8C385" w14:textId="77777777" w:rsidR="00DA2DE5" w:rsidRDefault="00DA2DE5" w:rsidP="00E174A9">
      <w:pPr>
        <w:rPr>
          <w:b/>
          <w:bCs/>
          <w:color w:val="000000" w:themeColor="text1"/>
          <w:sz w:val="32"/>
          <w:szCs w:val="32"/>
        </w:rPr>
      </w:pPr>
    </w:p>
    <w:p w14:paraId="4604DDEA" w14:textId="1172B650" w:rsidR="00E174A9" w:rsidRPr="00E174A9" w:rsidRDefault="00E174A9" w:rsidP="00E174A9">
      <w:pPr>
        <w:rPr>
          <w:b/>
          <w:bCs/>
          <w:color w:val="000000" w:themeColor="text1"/>
          <w:sz w:val="32"/>
          <w:szCs w:val="32"/>
        </w:rPr>
      </w:pPr>
      <w:r w:rsidRPr="00E174A9">
        <w:rPr>
          <w:b/>
          <w:bCs/>
          <w:color w:val="000000" w:themeColor="text1"/>
          <w:sz w:val="32"/>
          <w:szCs w:val="32"/>
        </w:rPr>
        <w:lastRenderedPageBreak/>
        <w:t>GDP Dataset</w:t>
      </w:r>
    </w:p>
    <w:p w14:paraId="43C229A8" w14:textId="756CABE2" w:rsidR="00E174A9" w:rsidRPr="00E174A9" w:rsidRDefault="00E174A9" w:rsidP="00E174A9">
      <w:pPr>
        <w:rPr>
          <w:color w:val="000000" w:themeColor="text1"/>
          <w:sz w:val="26"/>
          <w:szCs w:val="26"/>
        </w:rPr>
      </w:pPr>
      <w:r w:rsidRPr="00E174A9">
        <w:rPr>
          <w:color w:val="000000" w:themeColor="text1"/>
          <w:sz w:val="26"/>
          <w:szCs w:val="26"/>
        </w:rPr>
        <w:t>UK GDP data, sourced from Kaggle (originally from the Office for National Statistics)</w:t>
      </w:r>
      <w:r w:rsidR="002231FE">
        <w:rPr>
          <w:color w:val="000000" w:themeColor="text1"/>
          <w:sz w:val="26"/>
          <w:szCs w:val="26"/>
        </w:rPr>
        <w:t>(Gaye, 2023)</w:t>
      </w:r>
      <w:r w:rsidRPr="00E174A9">
        <w:rPr>
          <w:color w:val="000000" w:themeColor="text1"/>
          <w:sz w:val="26"/>
          <w:szCs w:val="26"/>
        </w:rPr>
        <w:t>, was available in quarterly format. To align it with the seasonal structure of the transfer and inflation data, aggregation was needed.</w:t>
      </w:r>
    </w:p>
    <w:p w14:paraId="0AC4EF19" w14:textId="77777777" w:rsidR="00E174A9" w:rsidRPr="00E174A9" w:rsidRDefault="00E174A9" w:rsidP="00E174A9">
      <w:pPr>
        <w:rPr>
          <w:color w:val="000000" w:themeColor="text1"/>
          <w:sz w:val="26"/>
          <w:szCs w:val="26"/>
        </w:rPr>
      </w:pPr>
      <w:r w:rsidRPr="00E174A9">
        <w:rPr>
          <w:color w:val="000000" w:themeColor="text1"/>
          <w:sz w:val="26"/>
          <w:szCs w:val="26"/>
        </w:rPr>
        <w:t>Data preparation involved:</w:t>
      </w:r>
    </w:p>
    <w:p w14:paraId="4015361F" w14:textId="77777777" w:rsidR="00E174A9" w:rsidRPr="00E174A9" w:rsidRDefault="00E174A9" w:rsidP="00E174A9">
      <w:pPr>
        <w:numPr>
          <w:ilvl w:val="0"/>
          <w:numId w:val="5"/>
        </w:numPr>
        <w:rPr>
          <w:color w:val="000000" w:themeColor="text1"/>
          <w:sz w:val="26"/>
          <w:szCs w:val="26"/>
        </w:rPr>
      </w:pPr>
      <w:r w:rsidRPr="00E174A9">
        <w:rPr>
          <w:color w:val="000000" w:themeColor="text1"/>
          <w:sz w:val="26"/>
          <w:szCs w:val="26"/>
        </w:rPr>
        <w:t>Extracting the year from each quarterly entry.</w:t>
      </w:r>
    </w:p>
    <w:p w14:paraId="08CA2B44" w14:textId="77777777" w:rsidR="00E174A9" w:rsidRPr="00E174A9" w:rsidRDefault="00E174A9" w:rsidP="00E174A9">
      <w:pPr>
        <w:numPr>
          <w:ilvl w:val="0"/>
          <w:numId w:val="5"/>
        </w:numPr>
        <w:rPr>
          <w:color w:val="000000" w:themeColor="text1"/>
          <w:sz w:val="26"/>
          <w:szCs w:val="26"/>
        </w:rPr>
      </w:pPr>
      <w:r w:rsidRPr="00E174A9">
        <w:rPr>
          <w:color w:val="000000" w:themeColor="text1"/>
          <w:sz w:val="26"/>
          <w:szCs w:val="26"/>
        </w:rPr>
        <w:t>Calculating annual GDP as the average of that year's four quarters.</w:t>
      </w:r>
    </w:p>
    <w:p w14:paraId="4EEA87AD" w14:textId="77777777" w:rsidR="00E174A9" w:rsidRPr="00E174A9" w:rsidRDefault="00E174A9" w:rsidP="00E174A9">
      <w:pPr>
        <w:rPr>
          <w:color w:val="000000" w:themeColor="text1"/>
          <w:sz w:val="26"/>
          <w:szCs w:val="26"/>
        </w:rPr>
      </w:pPr>
      <w:r w:rsidRPr="00E174A9">
        <w:rPr>
          <w:color w:val="000000" w:themeColor="text1"/>
          <w:sz w:val="26"/>
          <w:szCs w:val="26"/>
        </w:rPr>
        <w:t>This provided a consistent economic reference point to assess whether changes in club spending correlate with broader macroeconomic indicators. By converting quarterly GDP to annual figures, data merging was simplified and analytical consistency maintained.</w:t>
      </w:r>
    </w:p>
    <w:p w14:paraId="3B61FAC0" w14:textId="77777777" w:rsidR="007B6E13" w:rsidRDefault="007B6E13" w:rsidP="007B6E13">
      <w:pPr>
        <w:rPr>
          <w:b/>
          <w:bCs/>
          <w:color w:val="000000" w:themeColor="text1"/>
          <w:sz w:val="32"/>
          <w:szCs w:val="32"/>
        </w:rPr>
      </w:pPr>
      <w:r w:rsidRPr="00716181">
        <w:rPr>
          <w:b/>
          <w:bCs/>
          <w:color w:val="000000" w:themeColor="text1"/>
          <w:sz w:val="32"/>
          <w:szCs w:val="32"/>
        </w:rPr>
        <w:t>Challenges and Limitations</w:t>
      </w:r>
    </w:p>
    <w:p w14:paraId="2660B56A" w14:textId="340DD35F" w:rsidR="00C00880" w:rsidRPr="00DA2DE5" w:rsidRDefault="007B6E13" w:rsidP="00DA2DE5">
      <w:pPr>
        <w:rPr>
          <w:color w:val="000000" w:themeColor="text1"/>
          <w:sz w:val="26"/>
          <w:szCs w:val="26"/>
        </w:rPr>
      </w:pPr>
      <w:r w:rsidRPr="00652F47">
        <w:rPr>
          <w:color w:val="000000" w:themeColor="text1"/>
          <w:sz w:val="26"/>
          <w:szCs w:val="26"/>
        </w:rPr>
        <w:t>It is important to understand that t</w:t>
      </w:r>
      <w:r w:rsidRPr="00652F47">
        <w:rPr>
          <w:sz w:val="26"/>
          <w:szCs w:val="26"/>
        </w:rPr>
        <w:t>h</w:t>
      </w:r>
      <w:r w:rsidRPr="00652F47">
        <w:rPr>
          <w:color w:val="000000" w:themeColor="text1"/>
          <w:sz w:val="26"/>
          <w:szCs w:val="26"/>
        </w:rPr>
        <w:t>e dataset primarily focuses on financial transactions and lacks contextual details such as player positions, age, contract length, or market value at the time. This limits the depth of the analysis, as we cannot assess the quality or value-for-money of transfers.</w:t>
      </w:r>
      <w:r w:rsidR="00FA6666" w:rsidRPr="00652F47">
        <w:rPr>
          <w:color w:val="000000" w:themeColor="text1"/>
          <w:sz w:val="26"/>
          <w:szCs w:val="26"/>
        </w:rPr>
        <w:t xml:space="preserve"> </w:t>
      </w:r>
    </w:p>
    <w:p w14:paraId="48D9A9D6" w14:textId="77777777" w:rsidR="00C00880" w:rsidRDefault="00C00880" w:rsidP="00BB3CE1">
      <w:pPr>
        <w:jc w:val="center"/>
        <w:rPr>
          <w:b/>
          <w:bCs/>
          <w:sz w:val="36"/>
          <w:szCs w:val="36"/>
          <w:u w:val="single"/>
        </w:rPr>
      </w:pPr>
    </w:p>
    <w:p w14:paraId="1529ED0E" w14:textId="77777777" w:rsidR="002F287F" w:rsidRDefault="002F287F">
      <w:pPr>
        <w:rPr>
          <w:b/>
          <w:bCs/>
          <w:sz w:val="36"/>
          <w:szCs w:val="36"/>
          <w:u w:val="single"/>
        </w:rPr>
      </w:pPr>
      <w:r>
        <w:rPr>
          <w:b/>
          <w:bCs/>
          <w:sz w:val="36"/>
          <w:szCs w:val="36"/>
          <w:u w:val="single"/>
        </w:rPr>
        <w:br w:type="page"/>
      </w:r>
    </w:p>
    <w:p w14:paraId="2331DA90" w14:textId="12BDC48C" w:rsidR="00BB3CE1" w:rsidRDefault="00BB3CE1" w:rsidP="00BB3CE1">
      <w:pPr>
        <w:jc w:val="center"/>
        <w:rPr>
          <w:b/>
          <w:bCs/>
          <w:sz w:val="36"/>
          <w:szCs w:val="36"/>
          <w:u w:val="single"/>
        </w:rPr>
      </w:pPr>
      <w:r>
        <w:rPr>
          <w:b/>
          <w:bCs/>
          <w:sz w:val="36"/>
          <w:szCs w:val="36"/>
          <w:u w:val="single"/>
        </w:rPr>
        <w:lastRenderedPageBreak/>
        <w:t>Data Analysis</w:t>
      </w:r>
    </w:p>
    <w:p w14:paraId="32927B11" w14:textId="77777777" w:rsidR="00BB3CE1" w:rsidRDefault="00BB3CE1" w:rsidP="007B6E13">
      <w:pPr>
        <w:rPr>
          <w:color w:val="000000" w:themeColor="text1"/>
          <w:sz w:val="28"/>
          <w:szCs w:val="28"/>
        </w:rPr>
      </w:pPr>
    </w:p>
    <w:p w14:paraId="2B6EE7E6" w14:textId="1F0C7874" w:rsidR="00A64E25" w:rsidRPr="00A64E25" w:rsidRDefault="00A64E25" w:rsidP="00A64E25">
      <w:pPr>
        <w:rPr>
          <w:color w:val="000000" w:themeColor="text1"/>
          <w:sz w:val="26"/>
          <w:szCs w:val="26"/>
        </w:rPr>
      </w:pPr>
      <w:r w:rsidRPr="00A64E25">
        <w:rPr>
          <w:color w:val="000000" w:themeColor="text1"/>
          <w:sz w:val="26"/>
          <w:szCs w:val="26"/>
        </w:rPr>
        <w:t>Before diving into visuali</w:t>
      </w:r>
      <w:r w:rsidR="00327DF5">
        <w:rPr>
          <w:color w:val="000000" w:themeColor="text1"/>
          <w:sz w:val="26"/>
          <w:szCs w:val="26"/>
        </w:rPr>
        <w:t>s</w:t>
      </w:r>
      <w:r w:rsidRPr="00A64E25">
        <w:rPr>
          <w:color w:val="000000" w:themeColor="text1"/>
          <w:sz w:val="26"/>
          <w:szCs w:val="26"/>
        </w:rPr>
        <w:t>ations, I first built an integrated dataset that combines Premier League transfer activity, UK inflation rates, and GDP figures. I split the data into two parts: incoming transfers (expenditure) and outgoing transfers (income), then adjusted each for inflation using the Consumer Price Index (CPI). This allowed me to convert nominal transfer fees into real, inflation-adjusted values, making comparisons over time more meaningful.</w:t>
      </w:r>
    </w:p>
    <w:p w14:paraId="58C31B6D" w14:textId="252C14EB" w:rsidR="00A64E25" w:rsidRPr="00A64E25" w:rsidRDefault="00A64E25" w:rsidP="00A64E25">
      <w:pPr>
        <w:rPr>
          <w:color w:val="000000" w:themeColor="text1"/>
          <w:sz w:val="26"/>
          <w:szCs w:val="26"/>
        </w:rPr>
      </w:pPr>
      <w:r w:rsidRPr="00A64E25">
        <w:rPr>
          <w:color w:val="000000" w:themeColor="text1"/>
          <w:sz w:val="26"/>
          <w:szCs w:val="26"/>
        </w:rPr>
        <w:t>After adjusting for inflation, I merged in UK GDP data to provide a broader economic context. I then aggregated the data by season and club to calculate total</w:t>
      </w:r>
      <w:r w:rsidR="00B76CD0">
        <w:rPr>
          <w:color w:val="000000" w:themeColor="text1"/>
          <w:sz w:val="26"/>
          <w:szCs w:val="26"/>
        </w:rPr>
        <w:t xml:space="preserve">, </w:t>
      </w:r>
      <w:r w:rsidRPr="00A64E25">
        <w:rPr>
          <w:color w:val="000000" w:themeColor="text1"/>
          <w:sz w:val="26"/>
          <w:szCs w:val="26"/>
        </w:rPr>
        <w:t>average</w:t>
      </w:r>
      <w:r w:rsidR="00B76CD0">
        <w:rPr>
          <w:color w:val="000000" w:themeColor="text1"/>
          <w:sz w:val="26"/>
          <w:szCs w:val="26"/>
        </w:rPr>
        <w:t xml:space="preserve"> and maximum</w:t>
      </w:r>
      <w:r w:rsidRPr="00A64E25">
        <w:rPr>
          <w:color w:val="000000" w:themeColor="text1"/>
          <w:sz w:val="26"/>
          <w:szCs w:val="26"/>
        </w:rPr>
        <w:t xml:space="preserve"> spending figures, giving a clearer view of financial activity across the league.</w:t>
      </w:r>
    </w:p>
    <w:p w14:paraId="72DB7AAA" w14:textId="04170D1A" w:rsidR="00095EA8" w:rsidRPr="00A64E25" w:rsidRDefault="00A64E25" w:rsidP="00A64E25">
      <w:pPr>
        <w:rPr>
          <w:color w:val="000000" w:themeColor="text1"/>
          <w:sz w:val="26"/>
          <w:szCs w:val="26"/>
        </w:rPr>
      </w:pPr>
      <w:r w:rsidRPr="00A64E25">
        <w:rPr>
          <w:color w:val="000000" w:themeColor="text1"/>
          <w:sz w:val="26"/>
          <w:szCs w:val="26"/>
        </w:rPr>
        <w:t>For the Big Six clubs</w:t>
      </w:r>
      <w:r w:rsidR="000E188C" w:rsidRPr="00652F47">
        <w:rPr>
          <w:color w:val="000000" w:themeColor="text1"/>
          <w:sz w:val="26"/>
          <w:szCs w:val="26"/>
        </w:rPr>
        <w:t xml:space="preserve"> - </w:t>
      </w:r>
      <w:r w:rsidRPr="00A64E25">
        <w:rPr>
          <w:color w:val="000000" w:themeColor="text1"/>
          <w:sz w:val="26"/>
          <w:szCs w:val="26"/>
        </w:rPr>
        <w:t>Manchester United, Chelsea, Arsenal, Liverpool, Manchester City, and Tottenham</w:t>
      </w:r>
      <w:r w:rsidR="000E188C" w:rsidRPr="00652F47">
        <w:rPr>
          <w:color w:val="000000" w:themeColor="text1"/>
          <w:sz w:val="26"/>
          <w:szCs w:val="26"/>
        </w:rPr>
        <w:t xml:space="preserve"> - </w:t>
      </w:r>
      <w:r w:rsidRPr="00A64E25">
        <w:rPr>
          <w:color w:val="000000" w:themeColor="text1"/>
          <w:sz w:val="26"/>
          <w:szCs w:val="26"/>
        </w:rPr>
        <w:t xml:space="preserve">I filtered the dataset to isolate their transfer activity. These clubs were chosen due to their financial strength and consistent presence in the Premier League, offering stable and comparable data across seasons. I calculated each club’s total spending and income per </w:t>
      </w:r>
      <w:r w:rsidRPr="00652F47">
        <w:rPr>
          <w:color w:val="000000" w:themeColor="text1"/>
          <w:sz w:val="26"/>
          <w:szCs w:val="26"/>
        </w:rPr>
        <w:t>season and</w:t>
      </w:r>
      <w:r w:rsidRPr="00A64E25">
        <w:rPr>
          <w:color w:val="000000" w:themeColor="text1"/>
          <w:sz w:val="26"/>
          <w:szCs w:val="26"/>
        </w:rPr>
        <w:t xml:space="preserve"> merged this into a single dataset. This gives a detailed look at their net spending, helping to assess their financial strategies over time.</w:t>
      </w:r>
    </w:p>
    <w:p w14:paraId="19D7AB6B" w14:textId="77777777" w:rsidR="00E775BD" w:rsidRDefault="00E775BD" w:rsidP="00C14455">
      <w:pPr>
        <w:rPr>
          <w:color w:val="000000" w:themeColor="text1"/>
          <w:sz w:val="28"/>
          <w:szCs w:val="28"/>
        </w:rPr>
      </w:pPr>
    </w:p>
    <w:p w14:paraId="7ADE4082" w14:textId="77777777" w:rsidR="000F3707" w:rsidRDefault="00432213" w:rsidP="000F3707">
      <w:pPr>
        <w:keepNext/>
        <w:jc w:val="center"/>
      </w:pPr>
      <w:r w:rsidRPr="00432213">
        <w:rPr>
          <w:noProof/>
          <w:color w:val="000000" w:themeColor="text1"/>
          <w:sz w:val="28"/>
          <w:szCs w:val="28"/>
        </w:rPr>
        <w:drawing>
          <wp:inline distT="0" distB="0" distL="0" distR="0" wp14:anchorId="55951804" wp14:editId="6695D03B">
            <wp:extent cx="4963038" cy="3454400"/>
            <wp:effectExtent l="0" t="0" r="9525" b="0"/>
            <wp:docPr id="2076701121"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1121" name="Picture 1" descr="A graph with numbers and a line&#10;&#10;AI-generated content may be incorrect."/>
                    <pic:cNvPicPr/>
                  </pic:nvPicPr>
                  <pic:blipFill>
                    <a:blip r:embed="rId12"/>
                    <a:stretch>
                      <a:fillRect/>
                    </a:stretch>
                  </pic:blipFill>
                  <pic:spPr>
                    <a:xfrm>
                      <a:off x="0" y="0"/>
                      <a:ext cx="5091259" cy="3543645"/>
                    </a:xfrm>
                    <a:prstGeom prst="rect">
                      <a:avLst/>
                    </a:prstGeom>
                  </pic:spPr>
                </pic:pic>
              </a:graphicData>
            </a:graphic>
          </wp:inline>
        </w:drawing>
      </w:r>
    </w:p>
    <w:p w14:paraId="6E769082" w14:textId="66876C07" w:rsidR="001132B2" w:rsidRPr="00C14455" w:rsidRDefault="000F3707" w:rsidP="000F3707">
      <w:pPr>
        <w:pStyle w:val="Caption"/>
        <w:rPr>
          <w:color w:val="000000" w:themeColor="text1"/>
          <w:sz w:val="28"/>
          <w:szCs w:val="28"/>
        </w:rPr>
      </w:pPr>
      <w:r>
        <w:t xml:space="preserve">Figure </w:t>
      </w:r>
      <w:r w:rsidR="00613978">
        <w:fldChar w:fldCharType="begin"/>
      </w:r>
      <w:r w:rsidR="00613978">
        <w:instrText xml:space="preserve"> SEQ Figure \* ARABIC </w:instrText>
      </w:r>
      <w:r w:rsidR="00613978">
        <w:fldChar w:fldCharType="separate"/>
      </w:r>
      <w:r w:rsidR="00613978">
        <w:rPr>
          <w:noProof/>
        </w:rPr>
        <w:t>2</w:t>
      </w:r>
      <w:r w:rsidR="00613978">
        <w:rPr>
          <w:noProof/>
        </w:rPr>
        <w:fldChar w:fldCharType="end"/>
      </w:r>
    </w:p>
    <w:p w14:paraId="77B04D5D" w14:textId="0E5C1C11" w:rsidR="001C522B" w:rsidRDefault="00090D13" w:rsidP="000F3707">
      <w:pPr>
        <w:rPr>
          <w:color w:val="000000" w:themeColor="text1"/>
          <w:sz w:val="26"/>
          <w:szCs w:val="26"/>
        </w:rPr>
      </w:pPr>
      <w:r w:rsidRPr="00EA0629">
        <w:rPr>
          <w:color w:val="000000" w:themeColor="text1"/>
          <w:sz w:val="26"/>
          <w:szCs w:val="26"/>
        </w:rPr>
        <w:lastRenderedPageBreak/>
        <w:t xml:space="preserve">To better understand the impact of inflation, I began by comparing nominal and real transfer fees across all Premier League clubs. Figure </w:t>
      </w:r>
      <w:r w:rsidR="000A6C47" w:rsidRPr="00EA0629">
        <w:rPr>
          <w:color w:val="000000" w:themeColor="text1"/>
          <w:sz w:val="26"/>
          <w:szCs w:val="26"/>
        </w:rPr>
        <w:t>2</w:t>
      </w:r>
      <w:r w:rsidRPr="00EA0629">
        <w:rPr>
          <w:color w:val="000000" w:themeColor="text1"/>
          <w:sz w:val="26"/>
          <w:szCs w:val="26"/>
        </w:rPr>
        <w:t xml:space="preserve"> reveals a sharp rise in spending since 2011/12, peaking in 2017/18. Notably, real-term spending has consistently exceeded nominal values, highlighting that transfer outlays have grown faster than inflation—especially in the last decade.</w:t>
      </w:r>
    </w:p>
    <w:p w14:paraId="5D53FF38" w14:textId="77777777" w:rsidR="008E59E9" w:rsidRPr="00EA0629" w:rsidRDefault="008E59E9" w:rsidP="000F3707">
      <w:pPr>
        <w:rPr>
          <w:noProof/>
          <w:sz w:val="26"/>
          <w:szCs w:val="26"/>
        </w:rPr>
      </w:pPr>
    </w:p>
    <w:p w14:paraId="3AF243DB" w14:textId="77777777" w:rsidR="001C522B" w:rsidRDefault="000F3707" w:rsidP="001C522B">
      <w:pPr>
        <w:keepNext/>
        <w:jc w:val="center"/>
      </w:pPr>
      <w:r>
        <w:rPr>
          <w:noProof/>
        </w:rPr>
        <w:drawing>
          <wp:inline distT="0" distB="0" distL="0" distR="0" wp14:anchorId="4797231A" wp14:editId="732FD3DC">
            <wp:extent cx="5678340" cy="3390900"/>
            <wp:effectExtent l="0" t="0" r="0" b="0"/>
            <wp:docPr id="1937231556" name="Picture 3" descr="A graph with green and pin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31556" name="Picture 3" descr="A graph with green and pink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0380" cy="3445863"/>
                    </a:xfrm>
                    <a:prstGeom prst="rect">
                      <a:avLst/>
                    </a:prstGeom>
                    <a:noFill/>
                    <a:ln>
                      <a:noFill/>
                    </a:ln>
                  </pic:spPr>
                </pic:pic>
              </a:graphicData>
            </a:graphic>
          </wp:inline>
        </w:drawing>
      </w:r>
    </w:p>
    <w:p w14:paraId="1722013C" w14:textId="765C002D" w:rsidR="00652F47" w:rsidRDefault="001C522B" w:rsidP="001C522B">
      <w:pPr>
        <w:pStyle w:val="Caption"/>
      </w:pPr>
      <w:r>
        <w:t xml:space="preserve">Figure </w:t>
      </w:r>
      <w:r w:rsidR="00613978">
        <w:fldChar w:fldCharType="begin"/>
      </w:r>
      <w:r w:rsidR="00613978">
        <w:instrText xml:space="preserve"> SEQ Figure \* ARABIC </w:instrText>
      </w:r>
      <w:r w:rsidR="00613978">
        <w:fldChar w:fldCharType="separate"/>
      </w:r>
      <w:r w:rsidR="00613978">
        <w:rPr>
          <w:noProof/>
        </w:rPr>
        <w:t>3</w:t>
      </w:r>
      <w:r w:rsidR="00613978">
        <w:rPr>
          <w:noProof/>
        </w:rPr>
        <w:fldChar w:fldCharType="end"/>
      </w:r>
    </w:p>
    <w:p w14:paraId="6ED7648C" w14:textId="77777777" w:rsidR="000E3476" w:rsidRDefault="000E3476" w:rsidP="000E3476"/>
    <w:p w14:paraId="2CCB5A28" w14:textId="20D5CEAC" w:rsidR="00080061" w:rsidRDefault="00FB60DD" w:rsidP="000E3476">
      <w:pPr>
        <w:rPr>
          <w:sz w:val="26"/>
          <w:szCs w:val="26"/>
        </w:rPr>
      </w:pPr>
      <w:r w:rsidRPr="00FB60DD">
        <w:rPr>
          <w:sz w:val="26"/>
          <w:szCs w:val="26"/>
        </w:rPr>
        <w:t>Figure 3 compares the average and maximum inflation-adjusted transfer spending per Premier League season, highlighting financial disparities between clubs. While the average spending line reflects general market trends, the spikes in maximum spending reveal seasons where top clubs, likely the Big Six, outspent others significantly. From 2008 onwards, the growing gap between average and maximum spending signals an increasing imbalance, with a few clubs consistently pushing financial limits. This trend suggests rising ambition and greater resource access among top clubs, emphasizing the need to consider both average and extreme spending when analysing the transfer market.</w:t>
      </w:r>
    </w:p>
    <w:p w14:paraId="6CD7A58B" w14:textId="77777777" w:rsidR="00FC6660" w:rsidRDefault="00F70A2F" w:rsidP="00FC6660">
      <w:pPr>
        <w:keepNext/>
        <w:jc w:val="center"/>
      </w:pPr>
      <w:r>
        <w:rPr>
          <w:noProof/>
        </w:rPr>
        <w:lastRenderedPageBreak/>
        <w:drawing>
          <wp:inline distT="0" distB="0" distL="0" distR="0" wp14:anchorId="0BEC07C5" wp14:editId="59EDECB9">
            <wp:extent cx="6359525" cy="3157216"/>
            <wp:effectExtent l="0" t="0" r="3175" b="5715"/>
            <wp:docPr id="1715798652"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98652" name="Picture 3" descr="A graph with a red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0614" cy="3162721"/>
                    </a:xfrm>
                    <a:prstGeom prst="rect">
                      <a:avLst/>
                    </a:prstGeom>
                    <a:noFill/>
                    <a:ln>
                      <a:noFill/>
                    </a:ln>
                  </pic:spPr>
                </pic:pic>
              </a:graphicData>
            </a:graphic>
          </wp:inline>
        </w:drawing>
      </w:r>
    </w:p>
    <w:p w14:paraId="2C1FDE3A" w14:textId="6F3BE5C3" w:rsidR="00080061" w:rsidRDefault="00FC6660" w:rsidP="00FC6660">
      <w:pPr>
        <w:pStyle w:val="Caption"/>
        <w:rPr>
          <w:sz w:val="26"/>
          <w:szCs w:val="26"/>
        </w:rPr>
      </w:pPr>
      <w:r>
        <w:t xml:space="preserve">Figure </w:t>
      </w:r>
      <w:r w:rsidR="00613978">
        <w:fldChar w:fldCharType="begin"/>
      </w:r>
      <w:r w:rsidR="00613978">
        <w:instrText xml:space="preserve"> SEQ Figure \* ARABIC </w:instrText>
      </w:r>
      <w:r w:rsidR="00613978">
        <w:fldChar w:fldCharType="separate"/>
      </w:r>
      <w:r w:rsidR="00613978">
        <w:rPr>
          <w:noProof/>
        </w:rPr>
        <w:t>4</w:t>
      </w:r>
      <w:r w:rsidR="00613978">
        <w:rPr>
          <w:noProof/>
        </w:rPr>
        <w:fldChar w:fldCharType="end"/>
      </w:r>
    </w:p>
    <w:p w14:paraId="71086D77" w14:textId="77777777" w:rsidR="00FC6660" w:rsidRDefault="00FC6660" w:rsidP="00F70A2F">
      <w:pPr>
        <w:jc w:val="center"/>
        <w:rPr>
          <w:sz w:val="26"/>
          <w:szCs w:val="26"/>
        </w:rPr>
      </w:pPr>
    </w:p>
    <w:p w14:paraId="1AC81C25" w14:textId="78B83AE3" w:rsidR="00281277" w:rsidRDefault="00281277" w:rsidP="00281277">
      <w:pPr>
        <w:rPr>
          <w:sz w:val="26"/>
          <w:szCs w:val="26"/>
        </w:rPr>
      </w:pPr>
      <w:r w:rsidRPr="00281277">
        <w:rPr>
          <w:sz w:val="26"/>
          <w:szCs w:val="26"/>
        </w:rPr>
        <w:t>By contrasting transfer spending with UK GDP growth, Figure 4 reveals that football operates in a financial sphere of its own. While GDP has fluctuated modestly over time, transfer spending has escalated sharply, especially from the early 2000s onward. Even during economic downturns like the COVID-19 pandemic, spending remained high, highlighting how factors such as broadcast revenue and club ambition drive investment in players more than national economic conditions.</w:t>
      </w:r>
    </w:p>
    <w:p w14:paraId="2F3EDA40" w14:textId="77777777" w:rsidR="00CC0193" w:rsidRDefault="00E51851" w:rsidP="00CC0193">
      <w:pPr>
        <w:keepNext/>
        <w:jc w:val="center"/>
      </w:pPr>
      <w:r>
        <w:rPr>
          <w:noProof/>
        </w:rPr>
        <w:drawing>
          <wp:inline distT="0" distB="0" distL="0" distR="0" wp14:anchorId="193631B6" wp14:editId="5D89E70B">
            <wp:extent cx="4309449" cy="2769870"/>
            <wp:effectExtent l="0" t="0" r="0" b="0"/>
            <wp:docPr id="2147482326" name="Picture 4" descr="A chart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82326" name="Picture 4" descr="A chart of numbers and numbe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538" cy="2818776"/>
                    </a:xfrm>
                    <a:prstGeom prst="rect">
                      <a:avLst/>
                    </a:prstGeom>
                    <a:noFill/>
                    <a:ln>
                      <a:noFill/>
                    </a:ln>
                  </pic:spPr>
                </pic:pic>
              </a:graphicData>
            </a:graphic>
          </wp:inline>
        </w:drawing>
      </w:r>
    </w:p>
    <w:p w14:paraId="3EA5ADB6" w14:textId="2FE1185D" w:rsidR="00810B12" w:rsidRDefault="00CC0193" w:rsidP="00613978">
      <w:pPr>
        <w:pStyle w:val="Caption"/>
        <w:rPr>
          <w:sz w:val="26"/>
          <w:szCs w:val="26"/>
        </w:rPr>
      </w:pPr>
      <w:r>
        <w:t xml:space="preserve">Figure </w:t>
      </w:r>
      <w:r w:rsidR="00613978">
        <w:fldChar w:fldCharType="begin"/>
      </w:r>
      <w:r w:rsidR="00613978">
        <w:instrText xml:space="preserve"> SEQ Figure \* ARABIC </w:instrText>
      </w:r>
      <w:r w:rsidR="00613978">
        <w:fldChar w:fldCharType="separate"/>
      </w:r>
      <w:r w:rsidR="00613978">
        <w:rPr>
          <w:noProof/>
        </w:rPr>
        <w:t>5</w:t>
      </w:r>
      <w:r w:rsidR="00613978">
        <w:rPr>
          <w:noProof/>
        </w:rPr>
        <w:fldChar w:fldCharType="end"/>
      </w:r>
    </w:p>
    <w:p w14:paraId="7DCD5562" w14:textId="77777777" w:rsidR="00613978" w:rsidRDefault="00E51851" w:rsidP="00A57DB2">
      <w:pPr>
        <w:keepNext/>
      </w:pPr>
      <w:r>
        <w:rPr>
          <w:noProof/>
        </w:rPr>
        <w:lastRenderedPageBreak/>
        <w:drawing>
          <wp:inline distT="0" distB="0" distL="0" distR="0" wp14:anchorId="1F5E4D2A" wp14:editId="66737424">
            <wp:extent cx="6379210" cy="3168502"/>
            <wp:effectExtent l="0" t="0" r="2540" b="0"/>
            <wp:docPr id="92841004" name="Picture 5" descr="A graph with red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1004" name="Picture 5" descr="A graph with red lines and black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7046" cy="3182328"/>
                    </a:xfrm>
                    <a:prstGeom prst="rect">
                      <a:avLst/>
                    </a:prstGeom>
                    <a:noFill/>
                    <a:ln>
                      <a:noFill/>
                    </a:ln>
                  </pic:spPr>
                </pic:pic>
              </a:graphicData>
            </a:graphic>
          </wp:inline>
        </w:drawing>
      </w:r>
    </w:p>
    <w:p w14:paraId="2B981E70" w14:textId="09595B28" w:rsidR="00E51851" w:rsidRPr="00281277" w:rsidRDefault="00613978" w:rsidP="00613978">
      <w:pPr>
        <w:pStyle w:val="Caption"/>
        <w:rPr>
          <w:sz w:val="26"/>
          <w:szCs w:val="26"/>
        </w:rPr>
      </w:pPr>
      <w:r>
        <w:t xml:space="preserve">Figure </w:t>
      </w:r>
      <w:r>
        <w:fldChar w:fldCharType="begin"/>
      </w:r>
      <w:r>
        <w:instrText xml:space="preserve"> SEQ Figure \* ARABIC </w:instrText>
      </w:r>
      <w:r>
        <w:fldChar w:fldCharType="separate"/>
      </w:r>
      <w:r>
        <w:rPr>
          <w:noProof/>
        </w:rPr>
        <w:t>6</w:t>
      </w:r>
      <w:r>
        <w:rPr>
          <w:noProof/>
        </w:rPr>
        <w:fldChar w:fldCharType="end"/>
      </w:r>
    </w:p>
    <w:p w14:paraId="5441C748" w14:textId="6DD1F8C7" w:rsidR="00FC6660" w:rsidRDefault="00FC6660" w:rsidP="00281277">
      <w:pPr>
        <w:rPr>
          <w:sz w:val="26"/>
          <w:szCs w:val="26"/>
        </w:rPr>
      </w:pPr>
    </w:p>
    <w:p w14:paraId="5CDDF013" w14:textId="4C9095A0" w:rsidR="00D14A05" w:rsidRPr="00D14A05" w:rsidRDefault="00E028E9" w:rsidP="00D14A05">
      <w:pPr>
        <w:rPr>
          <w:sz w:val="26"/>
          <w:szCs w:val="26"/>
        </w:rPr>
      </w:pPr>
      <w:r>
        <w:rPr>
          <w:sz w:val="26"/>
          <w:szCs w:val="26"/>
        </w:rPr>
        <w:t>Finally, to</w:t>
      </w:r>
      <w:r w:rsidR="00D14A05" w:rsidRPr="00D14A05">
        <w:rPr>
          <w:sz w:val="26"/>
          <w:szCs w:val="26"/>
        </w:rPr>
        <w:t xml:space="preserve"> understand the financial behaviours within the Premier League's most dominant teams, Figures 5 </w:t>
      </w:r>
      <w:r w:rsidR="00965253" w:rsidRPr="00965253">
        <w:rPr>
          <w:sz w:val="26"/>
          <w:szCs w:val="26"/>
        </w:rPr>
        <w:t xml:space="preserve">presents a heatmap visualisation of transfer expenditure by </w:t>
      </w:r>
      <w:r w:rsidR="00965253">
        <w:rPr>
          <w:sz w:val="26"/>
          <w:szCs w:val="26"/>
        </w:rPr>
        <w:t xml:space="preserve">the </w:t>
      </w:r>
      <w:r w:rsidR="00965253" w:rsidRPr="00965253">
        <w:rPr>
          <w:sz w:val="26"/>
          <w:szCs w:val="26"/>
        </w:rPr>
        <w:t>“Big Six” over time.</w:t>
      </w:r>
      <w:r w:rsidR="001C17DA">
        <w:rPr>
          <w:sz w:val="26"/>
          <w:szCs w:val="26"/>
        </w:rPr>
        <w:t xml:space="preserve"> </w:t>
      </w:r>
      <w:r w:rsidR="003B61F8">
        <w:rPr>
          <w:sz w:val="26"/>
          <w:szCs w:val="26"/>
        </w:rPr>
        <w:t>I found that the use of Seaborn for this heatmap was appropriate</w:t>
      </w:r>
      <w:r w:rsidR="00C216E9">
        <w:rPr>
          <w:sz w:val="26"/>
          <w:szCs w:val="26"/>
        </w:rPr>
        <w:t xml:space="preserve"> as it enable</w:t>
      </w:r>
      <w:r w:rsidR="00A70643">
        <w:rPr>
          <w:sz w:val="26"/>
          <w:szCs w:val="26"/>
        </w:rPr>
        <w:t>s</w:t>
      </w:r>
      <w:r w:rsidR="00C216E9">
        <w:rPr>
          <w:sz w:val="26"/>
          <w:szCs w:val="26"/>
        </w:rPr>
        <w:t xml:space="preserve"> the clear </w:t>
      </w:r>
      <w:r w:rsidR="00290F09">
        <w:rPr>
          <w:sz w:val="26"/>
          <w:szCs w:val="26"/>
        </w:rPr>
        <w:t xml:space="preserve">identification </w:t>
      </w:r>
      <w:r w:rsidR="00FF4D5F">
        <w:rPr>
          <w:sz w:val="26"/>
          <w:szCs w:val="26"/>
        </w:rPr>
        <w:t xml:space="preserve">of </w:t>
      </w:r>
      <w:r w:rsidR="00A70643">
        <w:rPr>
          <w:sz w:val="26"/>
          <w:szCs w:val="26"/>
        </w:rPr>
        <w:t>temporal and cross-club varia</w:t>
      </w:r>
      <w:r w:rsidR="002716B8">
        <w:rPr>
          <w:sz w:val="26"/>
          <w:szCs w:val="26"/>
        </w:rPr>
        <w:t>tions in spending intensity</w:t>
      </w:r>
      <w:r w:rsidR="00D14A05" w:rsidRPr="00D14A05">
        <w:rPr>
          <w:sz w:val="26"/>
          <w:szCs w:val="26"/>
        </w:rPr>
        <w:t xml:space="preserve">. </w:t>
      </w:r>
      <w:r w:rsidR="00B06724" w:rsidRPr="00B06724">
        <w:rPr>
          <w:sz w:val="26"/>
          <w:szCs w:val="26"/>
        </w:rPr>
        <w:t>This visualisation immediately reveals that high levels of expenditure are concentrated within these six clubs, particularly from the mid-2010s onward</w:t>
      </w:r>
      <w:r w:rsidR="00EF2DB8">
        <w:rPr>
          <w:sz w:val="26"/>
          <w:szCs w:val="26"/>
        </w:rPr>
        <w:t xml:space="preserve"> with Manchester City and Chelsea </w:t>
      </w:r>
      <w:r w:rsidR="00814F94">
        <w:rPr>
          <w:sz w:val="26"/>
          <w:szCs w:val="26"/>
        </w:rPr>
        <w:t>consistently leading</w:t>
      </w:r>
      <w:r w:rsidR="00D5396E">
        <w:rPr>
          <w:sz w:val="26"/>
          <w:szCs w:val="26"/>
        </w:rPr>
        <w:t xml:space="preserve"> </w:t>
      </w:r>
      <w:r w:rsidR="00903693">
        <w:rPr>
          <w:sz w:val="26"/>
          <w:szCs w:val="26"/>
        </w:rPr>
        <w:t>spending efforts</w:t>
      </w:r>
      <w:r w:rsidR="00B06724" w:rsidRPr="00B06724">
        <w:rPr>
          <w:sz w:val="26"/>
          <w:szCs w:val="26"/>
        </w:rPr>
        <w:t>.</w:t>
      </w:r>
    </w:p>
    <w:p w14:paraId="49500343" w14:textId="099C9C21" w:rsidR="00D14A05" w:rsidRPr="00D14A05" w:rsidRDefault="00D14A05" w:rsidP="00D14A05">
      <w:pPr>
        <w:rPr>
          <w:sz w:val="26"/>
          <w:szCs w:val="26"/>
        </w:rPr>
      </w:pPr>
      <w:r w:rsidRPr="00D14A05">
        <w:rPr>
          <w:sz w:val="26"/>
          <w:szCs w:val="26"/>
        </w:rPr>
        <w:t>Figure 6 builds on these insights by tracking the Big Six’s collective income and expenditure in real terms</w:t>
      </w:r>
      <w:r w:rsidR="008803C6">
        <w:rPr>
          <w:sz w:val="26"/>
          <w:szCs w:val="26"/>
        </w:rPr>
        <w:t xml:space="preserve"> showing</w:t>
      </w:r>
      <w:r w:rsidRPr="00D14A05">
        <w:rPr>
          <w:sz w:val="26"/>
          <w:szCs w:val="26"/>
        </w:rPr>
        <w:t xml:space="preserve"> a clear gap between money spent and money earned from transfers. Despite occasional spikes in income </w:t>
      </w:r>
      <w:r w:rsidR="00541205">
        <w:rPr>
          <w:sz w:val="26"/>
          <w:szCs w:val="26"/>
        </w:rPr>
        <w:t xml:space="preserve">- </w:t>
      </w:r>
      <w:r w:rsidRPr="00D14A05">
        <w:rPr>
          <w:sz w:val="26"/>
          <w:szCs w:val="26"/>
        </w:rPr>
        <w:t xml:space="preserve">notably in 2017/18 </w:t>
      </w:r>
      <w:r w:rsidR="00541205">
        <w:rPr>
          <w:sz w:val="26"/>
          <w:szCs w:val="26"/>
        </w:rPr>
        <w:t xml:space="preserve"> - </w:t>
      </w:r>
      <w:r w:rsidRPr="00D14A05">
        <w:rPr>
          <w:sz w:val="26"/>
          <w:szCs w:val="26"/>
        </w:rPr>
        <w:t>overall expenditure continues to outpace revenue</w:t>
      </w:r>
      <w:r w:rsidR="00462C6B">
        <w:rPr>
          <w:sz w:val="26"/>
          <w:szCs w:val="26"/>
        </w:rPr>
        <w:t xml:space="preserve"> even during tough economic pe</w:t>
      </w:r>
      <w:r w:rsidR="00FC7F1E">
        <w:rPr>
          <w:sz w:val="26"/>
          <w:szCs w:val="26"/>
        </w:rPr>
        <w:t>riods</w:t>
      </w:r>
      <w:r w:rsidRPr="00D14A05">
        <w:rPr>
          <w:sz w:val="26"/>
          <w:szCs w:val="26"/>
        </w:rPr>
        <w:t xml:space="preserve">. </w:t>
      </w:r>
    </w:p>
    <w:p w14:paraId="5B59460D" w14:textId="09854110" w:rsidR="00127B7E" w:rsidRPr="00127B7E" w:rsidRDefault="00127B7E" w:rsidP="00127B7E">
      <w:pPr>
        <w:rPr>
          <w:sz w:val="26"/>
          <w:szCs w:val="26"/>
        </w:rPr>
      </w:pPr>
      <w:r w:rsidRPr="00127B7E">
        <w:rPr>
          <w:sz w:val="26"/>
          <w:szCs w:val="26"/>
        </w:rPr>
        <w:t>Together, these visuals indicate a structural shift in spending behaviour among elite clubs</w:t>
      </w:r>
      <w:r w:rsidR="00C120F7">
        <w:rPr>
          <w:sz w:val="26"/>
          <w:szCs w:val="26"/>
        </w:rPr>
        <w:t xml:space="preserve"> - s</w:t>
      </w:r>
      <w:r w:rsidRPr="00127B7E">
        <w:rPr>
          <w:sz w:val="26"/>
          <w:szCs w:val="26"/>
        </w:rPr>
        <w:t xml:space="preserve">uggesting that the rise in transfer fees is not just a product of </w:t>
      </w:r>
      <w:r w:rsidR="00C120F7" w:rsidRPr="00127B7E">
        <w:rPr>
          <w:sz w:val="26"/>
          <w:szCs w:val="26"/>
        </w:rPr>
        <w:t>inflation but</w:t>
      </w:r>
      <w:r w:rsidRPr="00127B7E">
        <w:rPr>
          <w:sz w:val="26"/>
          <w:szCs w:val="26"/>
        </w:rPr>
        <w:t xml:space="preserve"> is also underpinned by a growing financial capacity within the top tier of English football.</w:t>
      </w:r>
    </w:p>
    <w:p w14:paraId="420DA2D9" w14:textId="77777777" w:rsidR="00D14A05" w:rsidRDefault="00D14A05" w:rsidP="00281277">
      <w:pPr>
        <w:rPr>
          <w:sz w:val="26"/>
          <w:szCs w:val="26"/>
        </w:rPr>
      </w:pPr>
    </w:p>
    <w:p w14:paraId="127927E2" w14:textId="0E2372B3" w:rsidR="00E549CD" w:rsidRDefault="00E549CD" w:rsidP="00281277">
      <w:pPr>
        <w:rPr>
          <w:sz w:val="26"/>
          <w:szCs w:val="26"/>
        </w:rPr>
      </w:pPr>
    </w:p>
    <w:p w14:paraId="680D1D24" w14:textId="77777777" w:rsidR="00D5396E" w:rsidRDefault="00D5396E" w:rsidP="00281277">
      <w:pPr>
        <w:rPr>
          <w:sz w:val="26"/>
          <w:szCs w:val="26"/>
        </w:rPr>
      </w:pPr>
    </w:p>
    <w:p w14:paraId="209C4136" w14:textId="45AFC1A4" w:rsidR="00E549CD" w:rsidRDefault="00E549CD" w:rsidP="00E549CD">
      <w:pPr>
        <w:jc w:val="center"/>
        <w:rPr>
          <w:b/>
          <w:bCs/>
          <w:sz w:val="36"/>
          <w:szCs w:val="36"/>
          <w:u w:val="single"/>
        </w:rPr>
      </w:pPr>
      <w:r w:rsidRPr="00E549CD">
        <w:rPr>
          <w:b/>
          <w:bCs/>
          <w:sz w:val="36"/>
          <w:szCs w:val="36"/>
          <w:u w:val="single"/>
        </w:rPr>
        <w:lastRenderedPageBreak/>
        <w:t>Conclusion</w:t>
      </w:r>
    </w:p>
    <w:p w14:paraId="7B37155F" w14:textId="77777777" w:rsidR="00E549CD" w:rsidRDefault="00E549CD" w:rsidP="00E549CD">
      <w:pPr>
        <w:rPr>
          <w:sz w:val="26"/>
          <w:szCs w:val="26"/>
        </w:rPr>
      </w:pPr>
    </w:p>
    <w:p w14:paraId="1FD89A78" w14:textId="6BA15C3D" w:rsidR="00F576E9" w:rsidRPr="00F576E9" w:rsidRDefault="00A013AE" w:rsidP="00F576E9">
      <w:pPr>
        <w:rPr>
          <w:sz w:val="26"/>
          <w:szCs w:val="26"/>
        </w:rPr>
      </w:pPr>
      <w:r w:rsidRPr="00A013AE">
        <w:rPr>
          <w:sz w:val="26"/>
          <w:szCs w:val="26"/>
        </w:rPr>
        <w:t>Transfer fee</w:t>
      </w:r>
      <w:r w:rsidR="00EA0F82">
        <w:rPr>
          <w:sz w:val="26"/>
          <w:szCs w:val="26"/>
        </w:rPr>
        <w:t xml:space="preserve"> growth within</w:t>
      </w:r>
      <w:r w:rsidRPr="00A013AE">
        <w:rPr>
          <w:sz w:val="26"/>
          <w:szCs w:val="26"/>
        </w:rPr>
        <w:t xml:space="preserve"> the Premier League cannot be solely attributed to general inflation. While rising prices in the economy have undoubtedly played a role, the consistent and significant growth in real-terms transfer spending—especially among the top clubs—indicates a deeper structural shift in the financial dynamics of football. By incorporating inflation-adjusted figures, GDP trends, and club-level income versus expenditure, the findings show a clear divergence between national economic patterns and the football transfer market. </w:t>
      </w:r>
      <w:r w:rsidR="00F576E9" w:rsidRPr="00F576E9">
        <w:rPr>
          <w:sz w:val="26"/>
          <w:szCs w:val="26"/>
        </w:rPr>
        <w:t>The fact that clubs continued to spend aggressively even during periods of economic downturn, such as the COVID-19 pandemic</w:t>
      </w:r>
      <w:r w:rsidR="00EC5852">
        <w:rPr>
          <w:sz w:val="26"/>
          <w:szCs w:val="26"/>
        </w:rPr>
        <w:t xml:space="preserve"> where</w:t>
      </w:r>
      <w:r w:rsidR="008B6EA0">
        <w:rPr>
          <w:sz w:val="26"/>
          <w:szCs w:val="26"/>
        </w:rPr>
        <w:t xml:space="preserve"> Premier Lea</w:t>
      </w:r>
      <w:r w:rsidR="00C84DF7">
        <w:rPr>
          <w:sz w:val="26"/>
          <w:szCs w:val="26"/>
        </w:rPr>
        <w:t>gue clubs collectively ran a £700</w:t>
      </w:r>
      <w:r w:rsidR="00AD06AC">
        <w:rPr>
          <w:sz w:val="26"/>
          <w:szCs w:val="26"/>
        </w:rPr>
        <w:t xml:space="preserve"> million transfer deficit</w:t>
      </w:r>
      <w:r w:rsidR="00B21CF0">
        <w:rPr>
          <w:sz w:val="26"/>
          <w:szCs w:val="26"/>
        </w:rPr>
        <w:t xml:space="preserve"> </w:t>
      </w:r>
      <w:r w:rsidR="00F576E9" w:rsidRPr="00F576E9">
        <w:rPr>
          <w:sz w:val="26"/>
          <w:szCs w:val="26"/>
        </w:rPr>
        <w:t>suggests that football's top institutions are operating under a distinct financial logic</w:t>
      </w:r>
      <w:r w:rsidR="00127011">
        <w:rPr>
          <w:sz w:val="26"/>
          <w:szCs w:val="26"/>
        </w:rPr>
        <w:t xml:space="preserve"> - </w:t>
      </w:r>
      <w:r w:rsidR="00F576E9" w:rsidRPr="00F576E9">
        <w:rPr>
          <w:sz w:val="26"/>
          <w:szCs w:val="26"/>
        </w:rPr>
        <w:t>one driven by global broadcasting deals, increased commercial revenue and a growing emphasis on competitive dominance.</w:t>
      </w:r>
    </w:p>
    <w:p w14:paraId="107C77C4" w14:textId="4E6A6FA1" w:rsidR="00E549CD" w:rsidRDefault="00F576E9" w:rsidP="00E549CD">
      <w:pPr>
        <w:rPr>
          <w:sz w:val="26"/>
          <w:szCs w:val="26"/>
        </w:rPr>
      </w:pPr>
      <w:r w:rsidRPr="00F576E9">
        <w:rPr>
          <w:sz w:val="26"/>
          <w:szCs w:val="26"/>
        </w:rPr>
        <w:t xml:space="preserve">Ultimately, this report concludes that </w:t>
      </w:r>
      <w:r w:rsidR="00A633C6" w:rsidRPr="00A633C6">
        <w:rPr>
          <w:sz w:val="26"/>
          <w:szCs w:val="26"/>
        </w:rPr>
        <w:t>the sharp rise in transfer fees reflects a real increase in clubs' spending power, underpinned by an evolving and commercialised football economy where revenue streams are unique to the modern game. Practitioners can use these findings to benchmark transfer strategies more realistically, focus on sustainable commercial growth, and anticipate market shifts beyond inflation. Looking ahead, whether this trend continues will depend on how football generates and distributes revenue.</w:t>
      </w:r>
      <w:r w:rsidR="00A633C6">
        <w:rPr>
          <w:sz w:val="26"/>
          <w:szCs w:val="26"/>
        </w:rPr>
        <w:t xml:space="preserve"> </w:t>
      </w:r>
      <w:r w:rsidR="00ED1F62" w:rsidRPr="00ED1F62">
        <w:rPr>
          <w:sz w:val="26"/>
          <w:szCs w:val="26"/>
        </w:rPr>
        <w:t>potential financial regulation from UEFA</w:t>
      </w:r>
      <w:r w:rsidR="00ED1F62">
        <w:rPr>
          <w:sz w:val="26"/>
          <w:szCs w:val="26"/>
        </w:rPr>
        <w:t xml:space="preserve"> - </w:t>
      </w:r>
      <w:r w:rsidR="00ED1F62" w:rsidRPr="00ED1F62">
        <w:rPr>
          <w:sz w:val="26"/>
          <w:szCs w:val="26"/>
        </w:rPr>
        <w:t>such as enhanced squad cost rules or spending caps</w:t>
      </w:r>
      <w:r w:rsidR="00ED1F62">
        <w:rPr>
          <w:sz w:val="26"/>
          <w:szCs w:val="26"/>
        </w:rPr>
        <w:t xml:space="preserve"> - </w:t>
      </w:r>
      <w:r w:rsidR="00ED1F62" w:rsidRPr="00ED1F62">
        <w:rPr>
          <w:sz w:val="26"/>
          <w:szCs w:val="26"/>
        </w:rPr>
        <w:t>could challenge the sustainability of this direction and reshape how clubs operate financially.</w:t>
      </w:r>
    </w:p>
    <w:p w14:paraId="71F55C35" w14:textId="77777777" w:rsidR="009D104F" w:rsidRDefault="009D104F" w:rsidP="00E549CD">
      <w:pPr>
        <w:rPr>
          <w:sz w:val="26"/>
          <w:szCs w:val="26"/>
        </w:rPr>
      </w:pPr>
    </w:p>
    <w:p w14:paraId="50226279" w14:textId="77777777" w:rsidR="009D104F" w:rsidRDefault="009D104F" w:rsidP="00E549CD">
      <w:pPr>
        <w:rPr>
          <w:sz w:val="26"/>
          <w:szCs w:val="26"/>
        </w:rPr>
      </w:pPr>
    </w:p>
    <w:p w14:paraId="7D0FA1DC" w14:textId="77777777" w:rsidR="009D104F" w:rsidRDefault="009D104F" w:rsidP="00E549CD">
      <w:pPr>
        <w:rPr>
          <w:sz w:val="26"/>
          <w:szCs w:val="26"/>
        </w:rPr>
      </w:pPr>
    </w:p>
    <w:p w14:paraId="27A01F68" w14:textId="77777777" w:rsidR="009D104F" w:rsidRDefault="009D104F" w:rsidP="00E549CD">
      <w:pPr>
        <w:rPr>
          <w:sz w:val="26"/>
          <w:szCs w:val="26"/>
        </w:rPr>
      </w:pPr>
    </w:p>
    <w:p w14:paraId="21B96D7F" w14:textId="77777777" w:rsidR="009D104F" w:rsidRDefault="009D104F" w:rsidP="00E549CD">
      <w:pPr>
        <w:rPr>
          <w:sz w:val="26"/>
          <w:szCs w:val="26"/>
        </w:rPr>
      </w:pPr>
    </w:p>
    <w:p w14:paraId="60A7A3BF" w14:textId="77777777" w:rsidR="009D104F" w:rsidRDefault="009D104F" w:rsidP="00E549CD">
      <w:pPr>
        <w:rPr>
          <w:sz w:val="26"/>
          <w:szCs w:val="26"/>
        </w:rPr>
      </w:pPr>
    </w:p>
    <w:p w14:paraId="668B01CC" w14:textId="77777777" w:rsidR="009D104F" w:rsidRDefault="009D104F" w:rsidP="00E549CD">
      <w:pPr>
        <w:rPr>
          <w:sz w:val="26"/>
          <w:szCs w:val="26"/>
        </w:rPr>
      </w:pPr>
    </w:p>
    <w:p w14:paraId="52FE074B" w14:textId="77777777" w:rsidR="009D104F" w:rsidRDefault="009D104F" w:rsidP="00E549CD">
      <w:pPr>
        <w:rPr>
          <w:sz w:val="26"/>
          <w:szCs w:val="26"/>
        </w:rPr>
      </w:pPr>
    </w:p>
    <w:p w14:paraId="7759CF50" w14:textId="77777777" w:rsidR="009D104F" w:rsidRDefault="009D104F" w:rsidP="00E549CD">
      <w:pPr>
        <w:rPr>
          <w:sz w:val="26"/>
          <w:szCs w:val="26"/>
        </w:rPr>
      </w:pPr>
    </w:p>
    <w:p w14:paraId="2BD4DAC8" w14:textId="3B0C9EA8" w:rsidR="005B1D06" w:rsidRDefault="00E13575" w:rsidP="00FA6C9E">
      <w:pPr>
        <w:jc w:val="center"/>
        <w:rPr>
          <w:b/>
          <w:bCs/>
          <w:sz w:val="36"/>
          <w:szCs w:val="36"/>
          <w:u w:val="single"/>
        </w:rPr>
      </w:pPr>
      <w:r>
        <w:rPr>
          <w:b/>
          <w:bCs/>
          <w:sz w:val="36"/>
          <w:szCs w:val="36"/>
          <w:u w:val="single"/>
        </w:rPr>
        <w:lastRenderedPageBreak/>
        <w:t>Bibliography</w:t>
      </w:r>
    </w:p>
    <w:p w14:paraId="6B24DA28" w14:textId="53E5F634" w:rsidR="00FA6C9E" w:rsidRDefault="00FA6C9E" w:rsidP="00062D06">
      <w:pPr>
        <w:rPr>
          <w:sz w:val="26"/>
          <w:szCs w:val="26"/>
        </w:rPr>
      </w:pPr>
    </w:p>
    <w:p w14:paraId="4814EF04" w14:textId="0DE4CA28" w:rsidR="008F0018" w:rsidRDefault="00062D06" w:rsidP="00062D06">
      <w:pPr>
        <w:rPr>
          <w:sz w:val="26"/>
          <w:szCs w:val="26"/>
        </w:rPr>
      </w:pPr>
      <w:r w:rsidRPr="00062D06">
        <w:rPr>
          <w:sz w:val="26"/>
          <w:szCs w:val="26"/>
        </w:rPr>
        <w:t xml:space="preserve">Bhavik, C. (2022) </w:t>
      </w:r>
      <w:r w:rsidR="001B7961">
        <w:rPr>
          <w:sz w:val="26"/>
          <w:szCs w:val="26"/>
        </w:rPr>
        <w:t>‘</w:t>
      </w:r>
      <w:r w:rsidRPr="001B7961">
        <w:rPr>
          <w:sz w:val="26"/>
          <w:szCs w:val="26"/>
        </w:rPr>
        <w:t xml:space="preserve">Football transfers from 1992/93 to 2021/22 </w:t>
      </w:r>
      <w:r w:rsidR="00536C15" w:rsidRPr="001B7961">
        <w:rPr>
          <w:sz w:val="26"/>
          <w:szCs w:val="26"/>
        </w:rPr>
        <w:t>seasons</w:t>
      </w:r>
      <w:r w:rsidR="00536C15">
        <w:rPr>
          <w:sz w:val="26"/>
          <w:szCs w:val="26"/>
        </w:rPr>
        <w:t>’</w:t>
      </w:r>
      <w:r w:rsidRPr="00062D06">
        <w:rPr>
          <w:sz w:val="26"/>
          <w:szCs w:val="26"/>
        </w:rPr>
        <w:t xml:space="preserve">. Available at: </w:t>
      </w:r>
      <w:hyperlink r:id="rId17" w:history="1">
        <w:r w:rsidRPr="00A52DBB">
          <w:rPr>
            <w:rStyle w:val="Hyperlink"/>
            <w:sz w:val="26"/>
            <w:szCs w:val="26"/>
          </w:rPr>
          <w:t>https://www.kaggle.com/datasets/cbhavik/football-transfers-from-199293-to-202122-seasons</w:t>
        </w:r>
      </w:hyperlink>
      <w:r w:rsidRPr="00062D06">
        <w:rPr>
          <w:sz w:val="26"/>
          <w:szCs w:val="26"/>
        </w:rPr>
        <w:t xml:space="preserve"> (Accessed: 13 April 2025).</w:t>
      </w:r>
    </w:p>
    <w:p w14:paraId="331E3CED" w14:textId="3AC401AF" w:rsidR="00323EAA" w:rsidRDefault="00323EAA" w:rsidP="00062D06">
      <w:pPr>
        <w:rPr>
          <w:sz w:val="26"/>
          <w:szCs w:val="26"/>
        </w:rPr>
      </w:pPr>
      <w:r w:rsidRPr="00323EAA">
        <w:rPr>
          <w:sz w:val="26"/>
          <w:szCs w:val="26"/>
        </w:rPr>
        <w:t>Gaye, M. (2023)</w:t>
      </w:r>
      <w:r w:rsidR="009524C0">
        <w:rPr>
          <w:sz w:val="26"/>
          <w:szCs w:val="26"/>
        </w:rPr>
        <w:t xml:space="preserve"> </w:t>
      </w:r>
      <w:r w:rsidR="00304069">
        <w:rPr>
          <w:sz w:val="26"/>
          <w:szCs w:val="26"/>
        </w:rPr>
        <w:t>‘</w:t>
      </w:r>
      <w:r w:rsidRPr="007C37A2">
        <w:rPr>
          <w:sz w:val="26"/>
          <w:szCs w:val="26"/>
        </w:rPr>
        <w:t>UK gross domestic product quarterly (1955–2023)</w:t>
      </w:r>
      <w:r w:rsidR="00304069">
        <w:rPr>
          <w:sz w:val="26"/>
          <w:szCs w:val="26"/>
        </w:rPr>
        <w:t>’</w:t>
      </w:r>
      <w:r w:rsidRPr="00323EAA">
        <w:rPr>
          <w:sz w:val="26"/>
          <w:szCs w:val="26"/>
        </w:rPr>
        <w:t xml:space="preserve">. Available at: </w:t>
      </w:r>
      <w:hyperlink r:id="rId18" w:tgtFrame="_new" w:history="1">
        <w:r w:rsidRPr="00323EAA">
          <w:rPr>
            <w:rStyle w:val="Hyperlink"/>
            <w:sz w:val="26"/>
            <w:szCs w:val="26"/>
          </w:rPr>
          <w:t>https://www.kaggle.com/datasets/matarrgaye/uk-gross-domestic-product-quarterly-1955-2023</w:t>
        </w:r>
      </w:hyperlink>
      <w:r w:rsidRPr="00323EAA">
        <w:rPr>
          <w:sz w:val="26"/>
          <w:szCs w:val="26"/>
        </w:rPr>
        <w:t xml:space="preserve"> (Accessed: 1</w:t>
      </w:r>
      <w:r w:rsidR="00B21CF0">
        <w:rPr>
          <w:sz w:val="26"/>
          <w:szCs w:val="26"/>
        </w:rPr>
        <w:t>4</w:t>
      </w:r>
      <w:r w:rsidRPr="00323EAA">
        <w:rPr>
          <w:sz w:val="26"/>
          <w:szCs w:val="26"/>
        </w:rPr>
        <w:t xml:space="preserve"> April 2025).</w:t>
      </w:r>
    </w:p>
    <w:p w14:paraId="4EA1A9A0" w14:textId="5969CAB8" w:rsidR="00546939" w:rsidRDefault="00EC4249" w:rsidP="00062D06">
      <w:pPr>
        <w:rPr>
          <w:sz w:val="26"/>
          <w:szCs w:val="26"/>
        </w:rPr>
      </w:pPr>
      <w:r>
        <w:rPr>
          <w:sz w:val="26"/>
          <w:szCs w:val="26"/>
        </w:rPr>
        <w:t>Beckett, D</w:t>
      </w:r>
      <w:r w:rsidR="00546939" w:rsidRPr="00546939">
        <w:rPr>
          <w:sz w:val="26"/>
          <w:szCs w:val="26"/>
        </w:rPr>
        <w:t xml:space="preserve">. (2023) </w:t>
      </w:r>
      <w:r w:rsidR="00304069">
        <w:rPr>
          <w:sz w:val="26"/>
          <w:szCs w:val="26"/>
        </w:rPr>
        <w:t>‘</w:t>
      </w:r>
      <w:r w:rsidR="00546939" w:rsidRPr="00304069">
        <w:rPr>
          <w:sz w:val="26"/>
          <w:szCs w:val="26"/>
        </w:rPr>
        <w:t>UK inflation data 1989–2022</w:t>
      </w:r>
      <w:r w:rsidR="00304069">
        <w:rPr>
          <w:sz w:val="26"/>
          <w:szCs w:val="26"/>
        </w:rPr>
        <w:t>’</w:t>
      </w:r>
      <w:r w:rsidR="00546939" w:rsidRPr="00546939">
        <w:rPr>
          <w:sz w:val="26"/>
          <w:szCs w:val="26"/>
        </w:rPr>
        <w:t xml:space="preserve">. Available at: </w:t>
      </w:r>
      <w:hyperlink r:id="rId19" w:tgtFrame="_new" w:history="1">
        <w:r w:rsidR="00546939" w:rsidRPr="00546939">
          <w:rPr>
            <w:rStyle w:val="Hyperlink"/>
            <w:sz w:val="26"/>
            <w:szCs w:val="26"/>
          </w:rPr>
          <w:t>https://www.kaggle.com/datasets/scarfsman/uk-inflation-data-1989-2022</w:t>
        </w:r>
      </w:hyperlink>
      <w:r w:rsidR="00546939" w:rsidRPr="00546939">
        <w:rPr>
          <w:sz w:val="26"/>
          <w:szCs w:val="26"/>
        </w:rPr>
        <w:t xml:space="preserve"> (Accessed: 1</w:t>
      </w:r>
      <w:r w:rsidR="00B21CF0">
        <w:rPr>
          <w:sz w:val="26"/>
          <w:szCs w:val="26"/>
        </w:rPr>
        <w:t>5</w:t>
      </w:r>
      <w:r w:rsidR="00546939" w:rsidRPr="00546939">
        <w:rPr>
          <w:sz w:val="26"/>
          <w:szCs w:val="26"/>
        </w:rPr>
        <w:t xml:space="preserve"> April 2025).</w:t>
      </w:r>
    </w:p>
    <w:p w14:paraId="3D218870" w14:textId="6B982287" w:rsidR="00110C8C" w:rsidRDefault="00E5269E" w:rsidP="00062D06">
      <w:pPr>
        <w:rPr>
          <w:sz w:val="26"/>
          <w:szCs w:val="26"/>
        </w:rPr>
      </w:pPr>
      <w:r>
        <w:rPr>
          <w:sz w:val="26"/>
          <w:szCs w:val="26"/>
        </w:rPr>
        <w:t>Milmo, C.(2020)</w:t>
      </w:r>
      <w:r w:rsidR="00E05DD2">
        <w:rPr>
          <w:sz w:val="26"/>
          <w:szCs w:val="26"/>
        </w:rPr>
        <w:t xml:space="preserve"> </w:t>
      </w:r>
      <w:r w:rsidR="00E05DD2" w:rsidRPr="00EC0E8F">
        <w:rPr>
          <w:i/>
          <w:iCs/>
          <w:sz w:val="26"/>
          <w:szCs w:val="26"/>
        </w:rPr>
        <w:t>Premier League clubs defy Covid-19 downturn by running up huge £700m summer transfer deficit</w:t>
      </w:r>
      <w:r w:rsidR="00E14907">
        <w:rPr>
          <w:sz w:val="26"/>
          <w:szCs w:val="26"/>
        </w:rPr>
        <w:t>. Available at:</w:t>
      </w:r>
      <w:r w:rsidR="00E14907">
        <w:rPr>
          <w:b/>
          <w:bCs/>
          <w:sz w:val="26"/>
          <w:szCs w:val="26"/>
        </w:rPr>
        <w:t xml:space="preserve"> </w:t>
      </w:r>
      <w:hyperlink r:id="rId20" w:history="1">
        <w:r w:rsidR="00344558" w:rsidRPr="00A52DBB">
          <w:rPr>
            <w:rStyle w:val="Hyperlink"/>
            <w:sz w:val="26"/>
            <w:szCs w:val="26"/>
          </w:rPr>
          <w:t>https://inews.co.uk/sport/football/premier-league-clubs-defy-covid-19-downturn-running-summer-transfer-deficit-chelsea-liverpool-manchester-united-669782</w:t>
        </w:r>
      </w:hyperlink>
      <w:r w:rsidR="00536C15">
        <w:rPr>
          <w:sz w:val="26"/>
          <w:szCs w:val="26"/>
        </w:rPr>
        <w:t xml:space="preserve"> </w:t>
      </w:r>
      <w:r w:rsidR="00F1498F">
        <w:rPr>
          <w:sz w:val="26"/>
          <w:szCs w:val="26"/>
        </w:rPr>
        <w:t>(Accessed:20</w:t>
      </w:r>
      <w:r w:rsidR="00536C15">
        <w:rPr>
          <w:sz w:val="26"/>
          <w:szCs w:val="26"/>
        </w:rPr>
        <w:t xml:space="preserve"> April 2025).</w:t>
      </w:r>
    </w:p>
    <w:p w14:paraId="7B0D88AF" w14:textId="254448B1" w:rsidR="00E9766A" w:rsidRPr="00E9766A" w:rsidRDefault="00E9766A" w:rsidP="00E9766A">
      <w:pPr>
        <w:rPr>
          <w:sz w:val="26"/>
          <w:szCs w:val="26"/>
        </w:rPr>
      </w:pPr>
      <w:r w:rsidRPr="00E9766A">
        <w:rPr>
          <w:sz w:val="26"/>
          <w:szCs w:val="26"/>
        </w:rPr>
        <w:t>Matplotlib. (202</w:t>
      </w:r>
      <w:r w:rsidR="00620237">
        <w:rPr>
          <w:sz w:val="26"/>
          <w:szCs w:val="26"/>
        </w:rPr>
        <w:t>5</w:t>
      </w:r>
      <w:r w:rsidRPr="00E9766A">
        <w:rPr>
          <w:sz w:val="26"/>
          <w:szCs w:val="26"/>
        </w:rPr>
        <w:t xml:space="preserve">) </w:t>
      </w:r>
      <w:r w:rsidRPr="00E9766A">
        <w:rPr>
          <w:i/>
          <w:iCs/>
          <w:sz w:val="26"/>
          <w:szCs w:val="26"/>
        </w:rPr>
        <w:t>Matplotlib: Visualization with Python</w:t>
      </w:r>
      <w:r w:rsidRPr="00E9766A">
        <w:rPr>
          <w:sz w:val="26"/>
          <w:szCs w:val="26"/>
        </w:rPr>
        <w:t xml:space="preserve">. Available at: </w:t>
      </w:r>
      <w:hyperlink r:id="rId21" w:tgtFrame="_new" w:history="1">
        <w:r w:rsidRPr="00E9766A">
          <w:rPr>
            <w:rStyle w:val="Hyperlink"/>
            <w:sz w:val="26"/>
            <w:szCs w:val="26"/>
          </w:rPr>
          <w:t>https://matplotlib.org/stable/index.html</w:t>
        </w:r>
      </w:hyperlink>
      <w:r w:rsidRPr="00E9766A">
        <w:rPr>
          <w:sz w:val="26"/>
          <w:szCs w:val="26"/>
        </w:rPr>
        <w:t xml:space="preserve"> (Accessed: 2</w:t>
      </w:r>
      <w:r w:rsidR="00A429C3">
        <w:rPr>
          <w:sz w:val="26"/>
          <w:szCs w:val="26"/>
        </w:rPr>
        <w:t>4</w:t>
      </w:r>
      <w:r w:rsidRPr="00E9766A">
        <w:rPr>
          <w:sz w:val="26"/>
          <w:szCs w:val="26"/>
        </w:rPr>
        <w:t xml:space="preserve"> April 2025).</w:t>
      </w:r>
    </w:p>
    <w:p w14:paraId="5141A4EC" w14:textId="2EE13E40" w:rsidR="00E9766A" w:rsidRPr="00E9766A" w:rsidRDefault="00E9766A" w:rsidP="00E9766A">
      <w:pPr>
        <w:rPr>
          <w:sz w:val="26"/>
          <w:szCs w:val="26"/>
        </w:rPr>
      </w:pPr>
      <w:r>
        <w:rPr>
          <w:sz w:val="26"/>
          <w:szCs w:val="26"/>
        </w:rPr>
        <w:t>Seaborn</w:t>
      </w:r>
      <w:r w:rsidRPr="00E9766A">
        <w:rPr>
          <w:sz w:val="26"/>
          <w:szCs w:val="26"/>
        </w:rPr>
        <w:t xml:space="preserve"> (202</w:t>
      </w:r>
      <w:r w:rsidR="00620237">
        <w:rPr>
          <w:sz w:val="26"/>
          <w:szCs w:val="26"/>
        </w:rPr>
        <w:t>5</w:t>
      </w:r>
      <w:r w:rsidRPr="00E9766A">
        <w:rPr>
          <w:sz w:val="26"/>
          <w:szCs w:val="26"/>
        </w:rPr>
        <w:t xml:space="preserve">) </w:t>
      </w:r>
      <w:r w:rsidRPr="00E9766A">
        <w:rPr>
          <w:i/>
          <w:iCs/>
          <w:sz w:val="26"/>
          <w:szCs w:val="26"/>
        </w:rPr>
        <w:t>Seaborn: Statistical Data Visualization</w:t>
      </w:r>
      <w:r w:rsidRPr="00E9766A">
        <w:rPr>
          <w:sz w:val="26"/>
          <w:szCs w:val="26"/>
        </w:rPr>
        <w:t xml:space="preserve">. Available at: </w:t>
      </w:r>
      <w:hyperlink r:id="rId22" w:tgtFrame="_new" w:history="1">
        <w:r w:rsidRPr="00E9766A">
          <w:rPr>
            <w:rStyle w:val="Hyperlink"/>
            <w:sz w:val="26"/>
            <w:szCs w:val="26"/>
          </w:rPr>
          <w:t>https://seaborn.pydata.org/</w:t>
        </w:r>
      </w:hyperlink>
      <w:r w:rsidRPr="00E9766A">
        <w:rPr>
          <w:sz w:val="26"/>
          <w:szCs w:val="26"/>
        </w:rPr>
        <w:t xml:space="preserve"> (Accessed: 2</w:t>
      </w:r>
      <w:r w:rsidR="00A429C3">
        <w:rPr>
          <w:sz w:val="26"/>
          <w:szCs w:val="26"/>
        </w:rPr>
        <w:t>4</w:t>
      </w:r>
      <w:r w:rsidRPr="00E9766A">
        <w:rPr>
          <w:sz w:val="26"/>
          <w:szCs w:val="26"/>
        </w:rPr>
        <w:t xml:space="preserve"> April 2025).</w:t>
      </w:r>
    </w:p>
    <w:p w14:paraId="331668BA" w14:textId="77777777" w:rsidR="00A33DDF" w:rsidRPr="00E05DD2" w:rsidRDefault="00A33DDF" w:rsidP="00062D06">
      <w:pPr>
        <w:rPr>
          <w:b/>
          <w:bCs/>
          <w:sz w:val="26"/>
          <w:szCs w:val="26"/>
        </w:rPr>
      </w:pPr>
    </w:p>
    <w:p w14:paraId="7D0FE13E" w14:textId="28BA5471" w:rsidR="00110C8C" w:rsidRDefault="00B21CF0" w:rsidP="00B21CF0">
      <w:pPr>
        <w:rPr>
          <w:b/>
          <w:bCs/>
          <w:sz w:val="36"/>
          <w:szCs w:val="36"/>
          <w:u w:val="single"/>
        </w:rPr>
      </w:pPr>
      <w:r>
        <w:rPr>
          <w:b/>
          <w:bCs/>
          <w:sz w:val="36"/>
          <w:szCs w:val="36"/>
          <w:u w:val="single"/>
        </w:rPr>
        <w:br w:type="page"/>
      </w:r>
    </w:p>
    <w:p w14:paraId="1C3C7768" w14:textId="3185DF5F" w:rsidR="009D104F" w:rsidRDefault="00534FFE" w:rsidP="009D104F">
      <w:pPr>
        <w:jc w:val="center"/>
        <w:rPr>
          <w:b/>
          <w:bCs/>
          <w:sz w:val="36"/>
          <w:szCs w:val="36"/>
          <w:u w:val="single"/>
        </w:rPr>
      </w:pPr>
      <w:r w:rsidRPr="00534FFE">
        <w:rPr>
          <w:b/>
          <w:bCs/>
          <w:sz w:val="36"/>
          <w:szCs w:val="36"/>
          <w:u w:val="single"/>
        </w:rPr>
        <w:lastRenderedPageBreak/>
        <w:t>Appendix</w:t>
      </w:r>
    </w:p>
    <w:p w14:paraId="5B325DF1" w14:textId="0223BE18" w:rsidR="00534FFE" w:rsidRPr="00534FFE" w:rsidRDefault="007001E1" w:rsidP="00A2440E">
      <w:pPr>
        <w:rPr>
          <w:b/>
          <w:bCs/>
          <w:sz w:val="40"/>
          <w:szCs w:val="40"/>
          <w:u w:val="single"/>
        </w:rPr>
      </w:pPr>
      <w:r>
        <w:object w:dxaOrig="1504" w:dyaOrig="981" w14:anchorId="3BF2A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4.5pt;height:68.5pt" o:ole="">
            <v:imagedata r:id="rId23" o:title=""/>
          </v:shape>
          <o:OLEObject Type="Embed" ProgID="Package" ShapeID="_x0000_i1030" DrawAspect="Icon" ObjectID="_1807342988" r:id="rId24"/>
        </w:object>
      </w:r>
    </w:p>
    <w:sectPr w:rsidR="00534FFE" w:rsidRPr="00534FFE" w:rsidSect="0048041D">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25C29" w14:textId="77777777" w:rsidR="00941AAE" w:rsidRDefault="00941AAE" w:rsidP="00725E7C">
      <w:pPr>
        <w:spacing w:after="0" w:line="240" w:lineRule="auto"/>
      </w:pPr>
      <w:r>
        <w:separator/>
      </w:r>
    </w:p>
  </w:endnote>
  <w:endnote w:type="continuationSeparator" w:id="0">
    <w:p w14:paraId="77EC25AC" w14:textId="77777777" w:rsidR="00941AAE" w:rsidRDefault="00941AAE" w:rsidP="0072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0430718"/>
      <w:docPartObj>
        <w:docPartGallery w:val="Page Numbers (Bottom of Page)"/>
        <w:docPartUnique/>
      </w:docPartObj>
    </w:sdtPr>
    <w:sdtContent>
      <w:p w14:paraId="19EEF302" w14:textId="7204CE36" w:rsidR="001C436B" w:rsidRDefault="001C436B">
        <w:pPr>
          <w:pStyle w:val="Footer"/>
          <w:jc w:val="right"/>
        </w:pPr>
        <w:r>
          <w:fldChar w:fldCharType="begin"/>
        </w:r>
        <w:r>
          <w:instrText>PAGE   \* MERGEFORMAT</w:instrText>
        </w:r>
        <w:r>
          <w:fldChar w:fldCharType="separate"/>
        </w:r>
        <w:r>
          <w:t>2</w:t>
        </w:r>
        <w:r>
          <w:fldChar w:fldCharType="end"/>
        </w:r>
      </w:p>
    </w:sdtContent>
  </w:sdt>
  <w:p w14:paraId="515BA3DC" w14:textId="77777777" w:rsidR="00725E7C" w:rsidRDefault="00725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37D91" w14:textId="77777777" w:rsidR="00941AAE" w:rsidRDefault="00941AAE" w:rsidP="00725E7C">
      <w:pPr>
        <w:spacing w:after="0" w:line="240" w:lineRule="auto"/>
      </w:pPr>
      <w:r>
        <w:separator/>
      </w:r>
    </w:p>
  </w:footnote>
  <w:footnote w:type="continuationSeparator" w:id="0">
    <w:p w14:paraId="6B1A2336" w14:textId="77777777" w:rsidR="00941AAE" w:rsidRDefault="00941AAE" w:rsidP="00725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204CC" w14:textId="1F40B06F" w:rsidR="00725E7C" w:rsidRPr="00725E7C" w:rsidRDefault="00725E7C" w:rsidP="001C436B">
    <w:pPr>
      <w:pStyle w:val="Header"/>
      <w:jc w:val="center"/>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37C4"/>
    <w:multiLevelType w:val="hybridMultilevel"/>
    <w:tmpl w:val="4A16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D1570"/>
    <w:multiLevelType w:val="multilevel"/>
    <w:tmpl w:val="4F9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2119E"/>
    <w:multiLevelType w:val="multilevel"/>
    <w:tmpl w:val="2AA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978F9"/>
    <w:multiLevelType w:val="hybridMultilevel"/>
    <w:tmpl w:val="1D849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02444E"/>
    <w:multiLevelType w:val="multilevel"/>
    <w:tmpl w:val="612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44751">
    <w:abstractNumId w:val="3"/>
  </w:num>
  <w:num w:numId="2" w16cid:durableId="1242715538">
    <w:abstractNumId w:val="0"/>
  </w:num>
  <w:num w:numId="3" w16cid:durableId="435906683">
    <w:abstractNumId w:val="2"/>
  </w:num>
  <w:num w:numId="4" w16cid:durableId="577636154">
    <w:abstractNumId w:val="1"/>
  </w:num>
  <w:num w:numId="5" w16cid:durableId="56824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60"/>
    <w:rsid w:val="00003633"/>
    <w:rsid w:val="00006AE2"/>
    <w:rsid w:val="000230DE"/>
    <w:rsid w:val="0002332E"/>
    <w:rsid w:val="00033BBA"/>
    <w:rsid w:val="00046E8F"/>
    <w:rsid w:val="00062D06"/>
    <w:rsid w:val="00071C3C"/>
    <w:rsid w:val="00080061"/>
    <w:rsid w:val="000807C7"/>
    <w:rsid w:val="00090D13"/>
    <w:rsid w:val="00095EA8"/>
    <w:rsid w:val="000A270F"/>
    <w:rsid w:val="000A6C47"/>
    <w:rsid w:val="000B3FB6"/>
    <w:rsid w:val="000C2A71"/>
    <w:rsid w:val="000C6C50"/>
    <w:rsid w:val="000D0250"/>
    <w:rsid w:val="000E16F3"/>
    <w:rsid w:val="000E188C"/>
    <w:rsid w:val="000E3476"/>
    <w:rsid w:val="000F3707"/>
    <w:rsid w:val="00106C36"/>
    <w:rsid w:val="00110C8C"/>
    <w:rsid w:val="001132B2"/>
    <w:rsid w:val="001232B2"/>
    <w:rsid w:val="001232D5"/>
    <w:rsid w:val="00127011"/>
    <w:rsid w:val="00127B7E"/>
    <w:rsid w:val="00150E6A"/>
    <w:rsid w:val="00157663"/>
    <w:rsid w:val="00170AC7"/>
    <w:rsid w:val="001759A2"/>
    <w:rsid w:val="001A1BF2"/>
    <w:rsid w:val="001A2D59"/>
    <w:rsid w:val="001A4A0D"/>
    <w:rsid w:val="001A7ED7"/>
    <w:rsid w:val="001B362A"/>
    <w:rsid w:val="001B7961"/>
    <w:rsid w:val="001C17DA"/>
    <w:rsid w:val="001C436B"/>
    <w:rsid w:val="001C522B"/>
    <w:rsid w:val="001C58C9"/>
    <w:rsid w:val="001E2D64"/>
    <w:rsid w:val="001F4A90"/>
    <w:rsid w:val="00211186"/>
    <w:rsid w:val="00220B41"/>
    <w:rsid w:val="002211C8"/>
    <w:rsid w:val="002212AB"/>
    <w:rsid w:val="00222892"/>
    <w:rsid w:val="002231FE"/>
    <w:rsid w:val="00227CEE"/>
    <w:rsid w:val="00230520"/>
    <w:rsid w:val="00261DB6"/>
    <w:rsid w:val="00265369"/>
    <w:rsid w:val="00267BC2"/>
    <w:rsid w:val="002716B8"/>
    <w:rsid w:val="00271BE3"/>
    <w:rsid w:val="00276777"/>
    <w:rsid w:val="00281277"/>
    <w:rsid w:val="00285A1E"/>
    <w:rsid w:val="00286BD9"/>
    <w:rsid w:val="00290F09"/>
    <w:rsid w:val="002A5417"/>
    <w:rsid w:val="002A72F8"/>
    <w:rsid w:val="002B0342"/>
    <w:rsid w:val="002B40C0"/>
    <w:rsid w:val="002D499A"/>
    <w:rsid w:val="002D6F28"/>
    <w:rsid w:val="002D7BC2"/>
    <w:rsid w:val="002E2665"/>
    <w:rsid w:val="002E3131"/>
    <w:rsid w:val="002E5DF5"/>
    <w:rsid w:val="002E7E59"/>
    <w:rsid w:val="002F287F"/>
    <w:rsid w:val="003029DF"/>
    <w:rsid w:val="00304069"/>
    <w:rsid w:val="0031066F"/>
    <w:rsid w:val="00323EAA"/>
    <w:rsid w:val="0032485E"/>
    <w:rsid w:val="00327DF5"/>
    <w:rsid w:val="003362DE"/>
    <w:rsid w:val="0033724A"/>
    <w:rsid w:val="00344558"/>
    <w:rsid w:val="00355DD9"/>
    <w:rsid w:val="00361B07"/>
    <w:rsid w:val="00362AC0"/>
    <w:rsid w:val="00366581"/>
    <w:rsid w:val="003704F1"/>
    <w:rsid w:val="0037690F"/>
    <w:rsid w:val="00380E34"/>
    <w:rsid w:val="00382AE6"/>
    <w:rsid w:val="003A10CB"/>
    <w:rsid w:val="003A7DE0"/>
    <w:rsid w:val="003B0CFC"/>
    <w:rsid w:val="003B589D"/>
    <w:rsid w:val="003B61F8"/>
    <w:rsid w:val="003B7182"/>
    <w:rsid w:val="003C1262"/>
    <w:rsid w:val="003C35D9"/>
    <w:rsid w:val="003C49DD"/>
    <w:rsid w:val="003C4F8E"/>
    <w:rsid w:val="003D1031"/>
    <w:rsid w:val="003D7DA4"/>
    <w:rsid w:val="003E092A"/>
    <w:rsid w:val="003F67CD"/>
    <w:rsid w:val="004037A5"/>
    <w:rsid w:val="00411B80"/>
    <w:rsid w:val="004155E2"/>
    <w:rsid w:val="00416956"/>
    <w:rsid w:val="00432213"/>
    <w:rsid w:val="004337B9"/>
    <w:rsid w:val="00445B0C"/>
    <w:rsid w:val="00457315"/>
    <w:rsid w:val="004574C2"/>
    <w:rsid w:val="00462C6B"/>
    <w:rsid w:val="00467305"/>
    <w:rsid w:val="00472B7F"/>
    <w:rsid w:val="0047562A"/>
    <w:rsid w:val="0048041D"/>
    <w:rsid w:val="00480D31"/>
    <w:rsid w:val="004B303E"/>
    <w:rsid w:val="004B43B9"/>
    <w:rsid w:val="004C2C7D"/>
    <w:rsid w:val="004C44DA"/>
    <w:rsid w:val="004C61C6"/>
    <w:rsid w:val="004D1A63"/>
    <w:rsid w:val="004D3BFF"/>
    <w:rsid w:val="004D5FB6"/>
    <w:rsid w:val="004D6A2C"/>
    <w:rsid w:val="004D7F60"/>
    <w:rsid w:val="004F693D"/>
    <w:rsid w:val="00501636"/>
    <w:rsid w:val="00506366"/>
    <w:rsid w:val="00506F6A"/>
    <w:rsid w:val="00507D4F"/>
    <w:rsid w:val="00511D38"/>
    <w:rsid w:val="00534FFE"/>
    <w:rsid w:val="00535278"/>
    <w:rsid w:val="00536C15"/>
    <w:rsid w:val="00541205"/>
    <w:rsid w:val="00542FFC"/>
    <w:rsid w:val="00546939"/>
    <w:rsid w:val="00552941"/>
    <w:rsid w:val="00575634"/>
    <w:rsid w:val="0057770A"/>
    <w:rsid w:val="00580E0F"/>
    <w:rsid w:val="00583E1F"/>
    <w:rsid w:val="00586607"/>
    <w:rsid w:val="00592490"/>
    <w:rsid w:val="005956E9"/>
    <w:rsid w:val="005A2204"/>
    <w:rsid w:val="005B1543"/>
    <w:rsid w:val="005B1D06"/>
    <w:rsid w:val="005B7006"/>
    <w:rsid w:val="005D2508"/>
    <w:rsid w:val="005D5773"/>
    <w:rsid w:val="005E3744"/>
    <w:rsid w:val="005E45C4"/>
    <w:rsid w:val="005E696F"/>
    <w:rsid w:val="005F41AD"/>
    <w:rsid w:val="005F42DD"/>
    <w:rsid w:val="00610831"/>
    <w:rsid w:val="00613978"/>
    <w:rsid w:val="00617213"/>
    <w:rsid w:val="00617F9F"/>
    <w:rsid w:val="00620237"/>
    <w:rsid w:val="00632C94"/>
    <w:rsid w:val="0064623F"/>
    <w:rsid w:val="006508ED"/>
    <w:rsid w:val="006512F4"/>
    <w:rsid w:val="00652F47"/>
    <w:rsid w:val="00653CA6"/>
    <w:rsid w:val="00656CCE"/>
    <w:rsid w:val="00663140"/>
    <w:rsid w:val="00663646"/>
    <w:rsid w:val="00667585"/>
    <w:rsid w:val="00683E53"/>
    <w:rsid w:val="00687428"/>
    <w:rsid w:val="006B4BB7"/>
    <w:rsid w:val="006B7929"/>
    <w:rsid w:val="007001E1"/>
    <w:rsid w:val="00716181"/>
    <w:rsid w:val="00725E7C"/>
    <w:rsid w:val="00734A58"/>
    <w:rsid w:val="00750472"/>
    <w:rsid w:val="00772290"/>
    <w:rsid w:val="00773C0E"/>
    <w:rsid w:val="00781EA6"/>
    <w:rsid w:val="00794068"/>
    <w:rsid w:val="007A3ECE"/>
    <w:rsid w:val="007B651D"/>
    <w:rsid w:val="007B6E13"/>
    <w:rsid w:val="007C1AA4"/>
    <w:rsid w:val="007C37A2"/>
    <w:rsid w:val="007D0D93"/>
    <w:rsid w:val="007E38FD"/>
    <w:rsid w:val="00810B12"/>
    <w:rsid w:val="00814F94"/>
    <w:rsid w:val="00817DC7"/>
    <w:rsid w:val="00836046"/>
    <w:rsid w:val="00837DF0"/>
    <w:rsid w:val="00852404"/>
    <w:rsid w:val="00861DED"/>
    <w:rsid w:val="0087275F"/>
    <w:rsid w:val="00877FD4"/>
    <w:rsid w:val="008803C6"/>
    <w:rsid w:val="00882F4D"/>
    <w:rsid w:val="008953CF"/>
    <w:rsid w:val="008958AB"/>
    <w:rsid w:val="008A086A"/>
    <w:rsid w:val="008A4411"/>
    <w:rsid w:val="008A5048"/>
    <w:rsid w:val="008B630C"/>
    <w:rsid w:val="008B6EA0"/>
    <w:rsid w:val="008D5F99"/>
    <w:rsid w:val="008D6FC9"/>
    <w:rsid w:val="008D7197"/>
    <w:rsid w:val="008E59E9"/>
    <w:rsid w:val="008F0018"/>
    <w:rsid w:val="00903481"/>
    <w:rsid w:val="00903693"/>
    <w:rsid w:val="009117D4"/>
    <w:rsid w:val="00911F13"/>
    <w:rsid w:val="009225A2"/>
    <w:rsid w:val="009255A3"/>
    <w:rsid w:val="009410FB"/>
    <w:rsid w:val="00941AAE"/>
    <w:rsid w:val="0094353F"/>
    <w:rsid w:val="0094703C"/>
    <w:rsid w:val="009524C0"/>
    <w:rsid w:val="00965253"/>
    <w:rsid w:val="0097125F"/>
    <w:rsid w:val="009726D0"/>
    <w:rsid w:val="009750A8"/>
    <w:rsid w:val="00985389"/>
    <w:rsid w:val="00997F19"/>
    <w:rsid w:val="009A378F"/>
    <w:rsid w:val="009B7E9D"/>
    <w:rsid w:val="009C2AAC"/>
    <w:rsid w:val="009D104F"/>
    <w:rsid w:val="009E288E"/>
    <w:rsid w:val="009E2AEC"/>
    <w:rsid w:val="009E50A7"/>
    <w:rsid w:val="00A013AE"/>
    <w:rsid w:val="00A13C9A"/>
    <w:rsid w:val="00A17F7C"/>
    <w:rsid w:val="00A2440E"/>
    <w:rsid w:val="00A30DF8"/>
    <w:rsid w:val="00A33DDF"/>
    <w:rsid w:val="00A35D55"/>
    <w:rsid w:val="00A37F58"/>
    <w:rsid w:val="00A40394"/>
    <w:rsid w:val="00A41C65"/>
    <w:rsid w:val="00A429C3"/>
    <w:rsid w:val="00A50B50"/>
    <w:rsid w:val="00A52329"/>
    <w:rsid w:val="00A57DB2"/>
    <w:rsid w:val="00A633C6"/>
    <w:rsid w:val="00A63E6A"/>
    <w:rsid w:val="00A64E25"/>
    <w:rsid w:val="00A70643"/>
    <w:rsid w:val="00A77D34"/>
    <w:rsid w:val="00AA51E8"/>
    <w:rsid w:val="00AA72D1"/>
    <w:rsid w:val="00AB0588"/>
    <w:rsid w:val="00AD06AC"/>
    <w:rsid w:val="00AD712C"/>
    <w:rsid w:val="00AE064C"/>
    <w:rsid w:val="00AE13D1"/>
    <w:rsid w:val="00AF2D7A"/>
    <w:rsid w:val="00AF617D"/>
    <w:rsid w:val="00B06724"/>
    <w:rsid w:val="00B0778F"/>
    <w:rsid w:val="00B11F48"/>
    <w:rsid w:val="00B21CF0"/>
    <w:rsid w:val="00B22AFB"/>
    <w:rsid w:val="00B469BE"/>
    <w:rsid w:val="00B47CD1"/>
    <w:rsid w:val="00B63DA6"/>
    <w:rsid w:val="00B73023"/>
    <w:rsid w:val="00B76CD0"/>
    <w:rsid w:val="00B8199A"/>
    <w:rsid w:val="00B828C4"/>
    <w:rsid w:val="00B8397F"/>
    <w:rsid w:val="00BA2F3B"/>
    <w:rsid w:val="00BB0105"/>
    <w:rsid w:val="00BB3CE1"/>
    <w:rsid w:val="00BB67F6"/>
    <w:rsid w:val="00BC0B1B"/>
    <w:rsid w:val="00BC1CA8"/>
    <w:rsid w:val="00BD6EED"/>
    <w:rsid w:val="00BF4F72"/>
    <w:rsid w:val="00BF6254"/>
    <w:rsid w:val="00C00880"/>
    <w:rsid w:val="00C025BC"/>
    <w:rsid w:val="00C120F7"/>
    <w:rsid w:val="00C14455"/>
    <w:rsid w:val="00C14913"/>
    <w:rsid w:val="00C16291"/>
    <w:rsid w:val="00C216E9"/>
    <w:rsid w:val="00C26210"/>
    <w:rsid w:val="00C46DB5"/>
    <w:rsid w:val="00C678E4"/>
    <w:rsid w:val="00C70ED8"/>
    <w:rsid w:val="00C80B98"/>
    <w:rsid w:val="00C818F1"/>
    <w:rsid w:val="00C8329F"/>
    <w:rsid w:val="00C84DF7"/>
    <w:rsid w:val="00C84ECE"/>
    <w:rsid w:val="00C92ACF"/>
    <w:rsid w:val="00CA3489"/>
    <w:rsid w:val="00CA4737"/>
    <w:rsid w:val="00CA4B05"/>
    <w:rsid w:val="00CB4406"/>
    <w:rsid w:val="00CB74D9"/>
    <w:rsid w:val="00CB7AC8"/>
    <w:rsid w:val="00CC0193"/>
    <w:rsid w:val="00CC644D"/>
    <w:rsid w:val="00CD1715"/>
    <w:rsid w:val="00CD708E"/>
    <w:rsid w:val="00CE04FF"/>
    <w:rsid w:val="00CE4896"/>
    <w:rsid w:val="00CF1A31"/>
    <w:rsid w:val="00CF33F7"/>
    <w:rsid w:val="00CF3CC3"/>
    <w:rsid w:val="00CF5E2B"/>
    <w:rsid w:val="00D11509"/>
    <w:rsid w:val="00D1214E"/>
    <w:rsid w:val="00D14A05"/>
    <w:rsid w:val="00D21C9E"/>
    <w:rsid w:val="00D31A38"/>
    <w:rsid w:val="00D32C57"/>
    <w:rsid w:val="00D3571E"/>
    <w:rsid w:val="00D4353E"/>
    <w:rsid w:val="00D5396E"/>
    <w:rsid w:val="00D56FB7"/>
    <w:rsid w:val="00D64609"/>
    <w:rsid w:val="00D706DC"/>
    <w:rsid w:val="00D728F2"/>
    <w:rsid w:val="00D82A78"/>
    <w:rsid w:val="00D8710E"/>
    <w:rsid w:val="00DA2DE5"/>
    <w:rsid w:val="00DC1E02"/>
    <w:rsid w:val="00DE27CB"/>
    <w:rsid w:val="00DE6DDD"/>
    <w:rsid w:val="00DE7F43"/>
    <w:rsid w:val="00DF0D5E"/>
    <w:rsid w:val="00DF1FDB"/>
    <w:rsid w:val="00E028E9"/>
    <w:rsid w:val="00E029E3"/>
    <w:rsid w:val="00E05DD2"/>
    <w:rsid w:val="00E103D0"/>
    <w:rsid w:val="00E11337"/>
    <w:rsid w:val="00E13575"/>
    <w:rsid w:val="00E14907"/>
    <w:rsid w:val="00E174A9"/>
    <w:rsid w:val="00E23608"/>
    <w:rsid w:val="00E24F75"/>
    <w:rsid w:val="00E25737"/>
    <w:rsid w:val="00E51851"/>
    <w:rsid w:val="00E5269E"/>
    <w:rsid w:val="00E549CD"/>
    <w:rsid w:val="00E648C2"/>
    <w:rsid w:val="00E67535"/>
    <w:rsid w:val="00E73C24"/>
    <w:rsid w:val="00E7427F"/>
    <w:rsid w:val="00E775BD"/>
    <w:rsid w:val="00E87DAE"/>
    <w:rsid w:val="00E9766A"/>
    <w:rsid w:val="00EA0629"/>
    <w:rsid w:val="00EA0F82"/>
    <w:rsid w:val="00EA1322"/>
    <w:rsid w:val="00EA14C6"/>
    <w:rsid w:val="00EB3EE0"/>
    <w:rsid w:val="00EC0E8F"/>
    <w:rsid w:val="00EC124A"/>
    <w:rsid w:val="00EC1640"/>
    <w:rsid w:val="00EC4249"/>
    <w:rsid w:val="00EC5852"/>
    <w:rsid w:val="00EC6CB4"/>
    <w:rsid w:val="00EC7E26"/>
    <w:rsid w:val="00ED1F62"/>
    <w:rsid w:val="00ED4649"/>
    <w:rsid w:val="00EF2DB8"/>
    <w:rsid w:val="00F1498F"/>
    <w:rsid w:val="00F2013C"/>
    <w:rsid w:val="00F26B20"/>
    <w:rsid w:val="00F31DA5"/>
    <w:rsid w:val="00F336FB"/>
    <w:rsid w:val="00F344DE"/>
    <w:rsid w:val="00F42FB8"/>
    <w:rsid w:val="00F51AC1"/>
    <w:rsid w:val="00F53311"/>
    <w:rsid w:val="00F576E9"/>
    <w:rsid w:val="00F6360E"/>
    <w:rsid w:val="00F70A2F"/>
    <w:rsid w:val="00F7736F"/>
    <w:rsid w:val="00F97DA8"/>
    <w:rsid w:val="00FA6666"/>
    <w:rsid w:val="00FA6C9E"/>
    <w:rsid w:val="00FA7BE5"/>
    <w:rsid w:val="00FB60DD"/>
    <w:rsid w:val="00FC5B71"/>
    <w:rsid w:val="00FC6660"/>
    <w:rsid w:val="00FC7F1E"/>
    <w:rsid w:val="00FF16D8"/>
    <w:rsid w:val="00FF3E51"/>
    <w:rsid w:val="00FF4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A8364"/>
  <w15:chartTrackingRefBased/>
  <w15:docId w15:val="{C190984E-7F6A-44A2-B514-54608C6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F60"/>
    <w:rPr>
      <w:rFonts w:eastAsiaTheme="majorEastAsia" w:cstheme="majorBidi"/>
      <w:color w:val="272727" w:themeColor="text1" w:themeTint="D8"/>
    </w:rPr>
  </w:style>
  <w:style w:type="paragraph" w:styleId="Title">
    <w:name w:val="Title"/>
    <w:basedOn w:val="Normal"/>
    <w:next w:val="Normal"/>
    <w:link w:val="TitleChar"/>
    <w:uiPriority w:val="10"/>
    <w:qFormat/>
    <w:rsid w:val="004D7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F60"/>
    <w:pPr>
      <w:spacing w:before="160"/>
      <w:jc w:val="center"/>
    </w:pPr>
    <w:rPr>
      <w:i/>
      <w:iCs/>
      <w:color w:val="404040" w:themeColor="text1" w:themeTint="BF"/>
    </w:rPr>
  </w:style>
  <w:style w:type="character" w:customStyle="1" w:styleId="QuoteChar">
    <w:name w:val="Quote Char"/>
    <w:basedOn w:val="DefaultParagraphFont"/>
    <w:link w:val="Quote"/>
    <w:uiPriority w:val="29"/>
    <w:rsid w:val="004D7F60"/>
    <w:rPr>
      <w:i/>
      <w:iCs/>
      <w:color w:val="404040" w:themeColor="text1" w:themeTint="BF"/>
    </w:rPr>
  </w:style>
  <w:style w:type="paragraph" w:styleId="ListParagraph">
    <w:name w:val="List Paragraph"/>
    <w:basedOn w:val="Normal"/>
    <w:uiPriority w:val="34"/>
    <w:qFormat/>
    <w:rsid w:val="004D7F60"/>
    <w:pPr>
      <w:ind w:left="720"/>
      <w:contextualSpacing/>
    </w:pPr>
  </w:style>
  <w:style w:type="character" w:styleId="IntenseEmphasis">
    <w:name w:val="Intense Emphasis"/>
    <w:basedOn w:val="DefaultParagraphFont"/>
    <w:uiPriority w:val="21"/>
    <w:qFormat/>
    <w:rsid w:val="004D7F60"/>
    <w:rPr>
      <w:i/>
      <w:iCs/>
      <w:color w:val="0F4761" w:themeColor="accent1" w:themeShade="BF"/>
    </w:rPr>
  </w:style>
  <w:style w:type="paragraph" w:styleId="IntenseQuote">
    <w:name w:val="Intense Quote"/>
    <w:basedOn w:val="Normal"/>
    <w:next w:val="Normal"/>
    <w:link w:val="IntenseQuoteChar"/>
    <w:uiPriority w:val="30"/>
    <w:qFormat/>
    <w:rsid w:val="004D7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F60"/>
    <w:rPr>
      <w:i/>
      <w:iCs/>
      <w:color w:val="0F4761" w:themeColor="accent1" w:themeShade="BF"/>
    </w:rPr>
  </w:style>
  <w:style w:type="character" w:styleId="IntenseReference">
    <w:name w:val="Intense Reference"/>
    <w:basedOn w:val="DefaultParagraphFont"/>
    <w:uiPriority w:val="32"/>
    <w:qFormat/>
    <w:rsid w:val="004D7F60"/>
    <w:rPr>
      <w:b/>
      <w:bCs/>
      <w:smallCaps/>
      <w:color w:val="0F4761" w:themeColor="accent1" w:themeShade="BF"/>
      <w:spacing w:val="5"/>
    </w:rPr>
  </w:style>
  <w:style w:type="paragraph" w:styleId="Header">
    <w:name w:val="header"/>
    <w:basedOn w:val="Normal"/>
    <w:link w:val="HeaderChar"/>
    <w:uiPriority w:val="99"/>
    <w:unhideWhenUsed/>
    <w:rsid w:val="00725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E7C"/>
  </w:style>
  <w:style w:type="paragraph" w:styleId="Footer">
    <w:name w:val="footer"/>
    <w:basedOn w:val="Normal"/>
    <w:link w:val="FooterChar"/>
    <w:uiPriority w:val="99"/>
    <w:unhideWhenUsed/>
    <w:rsid w:val="00725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E7C"/>
  </w:style>
  <w:style w:type="paragraph" w:styleId="Caption">
    <w:name w:val="caption"/>
    <w:basedOn w:val="Normal"/>
    <w:next w:val="Normal"/>
    <w:uiPriority w:val="35"/>
    <w:unhideWhenUsed/>
    <w:qFormat/>
    <w:rsid w:val="00794068"/>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F336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336FB"/>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062D06"/>
    <w:rPr>
      <w:color w:val="467886" w:themeColor="hyperlink"/>
      <w:u w:val="single"/>
    </w:rPr>
  </w:style>
  <w:style w:type="character" w:styleId="UnresolvedMention">
    <w:name w:val="Unresolved Mention"/>
    <w:basedOn w:val="DefaultParagraphFont"/>
    <w:uiPriority w:val="99"/>
    <w:semiHidden/>
    <w:unhideWhenUsed/>
    <w:rsid w:val="0006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4747">
      <w:bodyDiv w:val="1"/>
      <w:marLeft w:val="0"/>
      <w:marRight w:val="0"/>
      <w:marTop w:val="0"/>
      <w:marBottom w:val="0"/>
      <w:divBdr>
        <w:top w:val="none" w:sz="0" w:space="0" w:color="auto"/>
        <w:left w:val="none" w:sz="0" w:space="0" w:color="auto"/>
        <w:bottom w:val="none" w:sz="0" w:space="0" w:color="auto"/>
        <w:right w:val="none" w:sz="0" w:space="0" w:color="auto"/>
      </w:divBdr>
    </w:div>
    <w:div w:id="70592440">
      <w:bodyDiv w:val="1"/>
      <w:marLeft w:val="0"/>
      <w:marRight w:val="0"/>
      <w:marTop w:val="0"/>
      <w:marBottom w:val="0"/>
      <w:divBdr>
        <w:top w:val="none" w:sz="0" w:space="0" w:color="auto"/>
        <w:left w:val="none" w:sz="0" w:space="0" w:color="auto"/>
        <w:bottom w:val="none" w:sz="0" w:space="0" w:color="auto"/>
        <w:right w:val="none" w:sz="0" w:space="0" w:color="auto"/>
      </w:divBdr>
    </w:div>
    <w:div w:id="73674535">
      <w:bodyDiv w:val="1"/>
      <w:marLeft w:val="0"/>
      <w:marRight w:val="0"/>
      <w:marTop w:val="0"/>
      <w:marBottom w:val="0"/>
      <w:divBdr>
        <w:top w:val="none" w:sz="0" w:space="0" w:color="auto"/>
        <w:left w:val="none" w:sz="0" w:space="0" w:color="auto"/>
        <w:bottom w:val="none" w:sz="0" w:space="0" w:color="auto"/>
        <w:right w:val="none" w:sz="0" w:space="0" w:color="auto"/>
      </w:divBdr>
    </w:div>
    <w:div w:id="81805161">
      <w:bodyDiv w:val="1"/>
      <w:marLeft w:val="0"/>
      <w:marRight w:val="0"/>
      <w:marTop w:val="0"/>
      <w:marBottom w:val="0"/>
      <w:divBdr>
        <w:top w:val="none" w:sz="0" w:space="0" w:color="auto"/>
        <w:left w:val="none" w:sz="0" w:space="0" w:color="auto"/>
        <w:bottom w:val="none" w:sz="0" w:space="0" w:color="auto"/>
        <w:right w:val="none" w:sz="0" w:space="0" w:color="auto"/>
      </w:divBdr>
    </w:div>
    <w:div w:id="114179226">
      <w:bodyDiv w:val="1"/>
      <w:marLeft w:val="0"/>
      <w:marRight w:val="0"/>
      <w:marTop w:val="0"/>
      <w:marBottom w:val="0"/>
      <w:divBdr>
        <w:top w:val="none" w:sz="0" w:space="0" w:color="auto"/>
        <w:left w:val="none" w:sz="0" w:space="0" w:color="auto"/>
        <w:bottom w:val="none" w:sz="0" w:space="0" w:color="auto"/>
        <w:right w:val="none" w:sz="0" w:space="0" w:color="auto"/>
      </w:divBdr>
    </w:div>
    <w:div w:id="177427895">
      <w:bodyDiv w:val="1"/>
      <w:marLeft w:val="0"/>
      <w:marRight w:val="0"/>
      <w:marTop w:val="0"/>
      <w:marBottom w:val="0"/>
      <w:divBdr>
        <w:top w:val="none" w:sz="0" w:space="0" w:color="auto"/>
        <w:left w:val="none" w:sz="0" w:space="0" w:color="auto"/>
        <w:bottom w:val="none" w:sz="0" w:space="0" w:color="auto"/>
        <w:right w:val="none" w:sz="0" w:space="0" w:color="auto"/>
      </w:divBdr>
    </w:div>
    <w:div w:id="229577700">
      <w:bodyDiv w:val="1"/>
      <w:marLeft w:val="0"/>
      <w:marRight w:val="0"/>
      <w:marTop w:val="0"/>
      <w:marBottom w:val="0"/>
      <w:divBdr>
        <w:top w:val="none" w:sz="0" w:space="0" w:color="auto"/>
        <w:left w:val="none" w:sz="0" w:space="0" w:color="auto"/>
        <w:bottom w:val="none" w:sz="0" w:space="0" w:color="auto"/>
        <w:right w:val="none" w:sz="0" w:space="0" w:color="auto"/>
      </w:divBdr>
    </w:div>
    <w:div w:id="254827490">
      <w:bodyDiv w:val="1"/>
      <w:marLeft w:val="0"/>
      <w:marRight w:val="0"/>
      <w:marTop w:val="0"/>
      <w:marBottom w:val="0"/>
      <w:divBdr>
        <w:top w:val="none" w:sz="0" w:space="0" w:color="auto"/>
        <w:left w:val="none" w:sz="0" w:space="0" w:color="auto"/>
        <w:bottom w:val="none" w:sz="0" w:space="0" w:color="auto"/>
        <w:right w:val="none" w:sz="0" w:space="0" w:color="auto"/>
      </w:divBdr>
    </w:div>
    <w:div w:id="282271374">
      <w:bodyDiv w:val="1"/>
      <w:marLeft w:val="0"/>
      <w:marRight w:val="0"/>
      <w:marTop w:val="0"/>
      <w:marBottom w:val="0"/>
      <w:divBdr>
        <w:top w:val="none" w:sz="0" w:space="0" w:color="auto"/>
        <w:left w:val="none" w:sz="0" w:space="0" w:color="auto"/>
        <w:bottom w:val="none" w:sz="0" w:space="0" w:color="auto"/>
        <w:right w:val="none" w:sz="0" w:space="0" w:color="auto"/>
      </w:divBdr>
    </w:div>
    <w:div w:id="328410881">
      <w:bodyDiv w:val="1"/>
      <w:marLeft w:val="0"/>
      <w:marRight w:val="0"/>
      <w:marTop w:val="0"/>
      <w:marBottom w:val="0"/>
      <w:divBdr>
        <w:top w:val="none" w:sz="0" w:space="0" w:color="auto"/>
        <w:left w:val="none" w:sz="0" w:space="0" w:color="auto"/>
        <w:bottom w:val="none" w:sz="0" w:space="0" w:color="auto"/>
        <w:right w:val="none" w:sz="0" w:space="0" w:color="auto"/>
      </w:divBdr>
    </w:div>
    <w:div w:id="403182804">
      <w:bodyDiv w:val="1"/>
      <w:marLeft w:val="0"/>
      <w:marRight w:val="0"/>
      <w:marTop w:val="0"/>
      <w:marBottom w:val="0"/>
      <w:divBdr>
        <w:top w:val="none" w:sz="0" w:space="0" w:color="auto"/>
        <w:left w:val="none" w:sz="0" w:space="0" w:color="auto"/>
        <w:bottom w:val="none" w:sz="0" w:space="0" w:color="auto"/>
        <w:right w:val="none" w:sz="0" w:space="0" w:color="auto"/>
      </w:divBdr>
    </w:div>
    <w:div w:id="412816857">
      <w:bodyDiv w:val="1"/>
      <w:marLeft w:val="0"/>
      <w:marRight w:val="0"/>
      <w:marTop w:val="0"/>
      <w:marBottom w:val="0"/>
      <w:divBdr>
        <w:top w:val="none" w:sz="0" w:space="0" w:color="auto"/>
        <w:left w:val="none" w:sz="0" w:space="0" w:color="auto"/>
        <w:bottom w:val="none" w:sz="0" w:space="0" w:color="auto"/>
        <w:right w:val="none" w:sz="0" w:space="0" w:color="auto"/>
      </w:divBdr>
    </w:div>
    <w:div w:id="413742801">
      <w:bodyDiv w:val="1"/>
      <w:marLeft w:val="0"/>
      <w:marRight w:val="0"/>
      <w:marTop w:val="0"/>
      <w:marBottom w:val="0"/>
      <w:divBdr>
        <w:top w:val="none" w:sz="0" w:space="0" w:color="auto"/>
        <w:left w:val="none" w:sz="0" w:space="0" w:color="auto"/>
        <w:bottom w:val="none" w:sz="0" w:space="0" w:color="auto"/>
        <w:right w:val="none" w:sz="0" w:space="0" w:color="auto"/>
      </w:divBdr>
    </w:div>
    <w:div w:id="470252769">
      <w:bodyDiv w:val="1"/>
      <w:marLeft w:val="0"/>
      <w:marRight w:val="0"/>
      <w:marTop w:val="0"/>
      <w:marBottom w:val="0"/>
      <w:divBdr>
        <w:top w:val="none" w:sz="0" w:space="0" w:color="auto"/>
        <w:left w:val="none" w:sz="0" w:space="0" w:color="auto"/>
        <w:bottom w:val="none" w:sz="0" w:space="0" w:color="auto"/>
        <w:right w:val="none" w:sz="0" w:space="0" w:color="auto"/>
      </w:divBdr>
    </w:div>
    <w:div w:id="533269911">
      <w:bodyDiv w:val="1"/>
      <w:marLeft w:val="0"/>
      <w:marRight w:val="0"/>
      <w:marTop w:val="0"/>
      <w:marBottom w:val="0"/>
      <w:divBdr>
        <w:top w:val="none" w:sz="0" w:space="0" w:color="auto"/>
        <w:left w:val="none" w:sz="0" w:space="0" w:color="auto"/>
        <w:bottom w:val="none" w:sz="0" w:space="0" w:color="auto"/>
        <w:right w:val="none" w:sz="0" w:space="0" w:color="auto"/>
      </w:divBdr>
    </w:div>
    <w:div w:id="646133365">
      <w:bodyDiv w:val="1"/>
      <w:marLeft w:val="0"/>
      <w:marRight w:val="0"/>
      <w:marTop w:val="0"/>
      <w:marBottom w:val="0"/>
      <w:divBdr>
        <w:top w:val="none" w:sz="0" w:space="0" w:color="auto"/>
        <w:left w:val="none" w:sz="0" w:space="0" w:color="auto"/>
        <w:bottom w:val="none" w:sz="0" w:space="0" w:color="auto"/>
        <w:right w:val="none" w:sz="0" w:space="0" w:color="auto"/>
      </w:divBdr>
    </w:div>
    <w:div w:id="661811297">
      <w:bodyDiv w:val="1"/>
      <w:marLeft w:val="0"/>
      <w:marRight w:val="0"/>
      <w:marTop w:val="0"/>
      <w:marBottom w:val="0"/>
      <w:divBdr>
        <w:top w:val="none" w:sz="0" w:space="0" w:color="auto"/>
        <w:left w:val="none" w:sz="0" w:space="0" w:color="auto"/>
        <w:bottom w:val="none" w:sz="0" w:space="0" w:color="auto"/>
        <w:right w:val="none" w:sz="0" w:space="0" w:color="auto"/>
      </w:divBdr>
    </w:div>
    <w:div w:id="749274611">
      <w:bodyDiv w:val="1"/>
      <w:marLeft w:val="0"/>
      <w:marRight w:val="0"/>
      <w:marTop w:val="0"/>
      <w:marBottom w:val="0"/>
      <w:divBdr>
        <w:top w:val="none" w:sz="0" w:space="0" w:color="auto"/>
        <w:left w:val="none" w:sz="0" w:space="0" w:color="auto"/>
        <w:bottom w:val="none" w:sz="0" w:space="0" w:color="auto"/>
        <w:right w:val="none" w:sz="0" w:space="0" w:color="auto"/>
      </w:divBdr>
    </w:div>
    <w:div w:id="802843733">
      <w:bodyDiv w:val="1"/>
      <w:marLeft w:val="0"/>
      <w:marRight w:val="0"/>
      <w:marTop w:val="0"/>
      <w:marBottom w:val="0"/>
      <w:divBdr>
        <w:top w:val="none" w:sz="0" w:space="0" w:color="auto"/>
        <w:left w:val="none" w:sz="0" w:space="0" w:color="auto"/>
        <w:bottom w:val="none" w:sz="0" w:space="0" w:color="auto"/>
        <w:right w:val="none" w:sz="0" w:space="0" w:color="auto"/>
      </w:divBdr>
    </w:div>
    <w:div w:id="803545822">
      <w:bodyDiv w:val="1"/>
      <w:marLeft w:val="0"/>
      <w:marRight w:val="0"/>
      <w:marTop w:val="0"/>
      <w:marBottom w:val="0"/>
      <w:divBdr>
        <w:top w:val="none" w:sz="0" w:space="0" w:color="auto"/>
        <w:left w:val="none" w:sz="0" w:space="0" w:color="auto"/>
        <w:bottom w:val="none" w:sz="0" w:space="0" w:color="auto"/>
        <w:right w:val="none" w:sz="0" w:space="0" w:color="auto"/>
      </w:divBdr>
      <w:divsChild>
        <w:div w:id="787354450">
          <w:marLeft w:val="0"/>
          <w:marRight w:val="0"/>
          <w:marTop w:val="0"/>
          <w:marBottom w:val="0"/>
          <w:divBdr>
            <w:top w:val="none" w:sz="0" w:space="0" w:color="auto"/>
            <w:left w:val="none" w:sz="0" w:space="0" w:color="auto"/>
            <w:bottom w:val="none" w:sz="0" w:space="0" w:color="auto"/>
            <w:right w:val="none" w:sz="0" w:space="0" w:color="auto"/>
          </w:divBdr>
          <w:divsChild>
            <w:div w:id="693269900">
              <w:marLeft w:val="0"/>
              <w:marRight w:val="0"/>
              <w:marTop w:val="0"/>
              <w:marBottom w:val="0"/>
              <w:divBdr>
                <w:top w:val="none" w:sz="0" w:space="0" w:color="auto"/>
                <w:left w:val="none" w:sz="0" w:space="0" w:color="auto"/>
                <w:bottom w:val="none" w:sz="0" w:space="0" w:color="auto"/>
                <w:right w:val="none" w:sz="0" w:space="0" w:color="auto"/>
              </w:divBdr>
              <w:divsChild>
                <w:div w:id="496700581">
                  <w:marLeft w:val="0"/>
                  <w:marRight w:val="0"/>
                  <w:marTop w:val="0"/>
                  <w:marBottom w:val="0"/>
                  <w:divBdr>
                    <w:top w:val="none" w:sz="0" w:space="0" w:color="auto"/>
                    <w:left w:val="none" w:sz="0" w:space="0" w:color="auto"/>
                    <w:bottom w:val="none" w:sz="0" w:space="0" w:color="auto"/>
                    <w:right w:val="none" w:sz="0" w:space="0" w:color="auto"/>
                  </w:divBdr>
                  <w:divsChild>
                    <w:div w:id="1937471314">
                      <w:marLeft w:val="0"/>
                      <w:marRight w:val="0"/>
                      <w:marTop w:val="0"/>
                      <w:marBottom w:val="0"/>
                      <w:divBdr>
                        <w:top w:val="none" w:sz="0" w:space="0" w:color="auto"/>
                        <w:left w:val="none" w:sz="0" w:space="0" w:color="auto"/>
                        <w:bottom w:val="none" w:sz="0" w:space="0" w:color="auto"/>
                        <w:right w:val="none" w:sz="0" w:space="0" w:color="auto"/>
                      </w:divBdr>
                      <w:divsChild>
                        <w:div w:id="1065447346">
                          <w:marLeft w:val="0"/>
                          <w:marRight w:val="0"/>
                          <w:marTop w:val="0"/>
                          <w:marBottom w:val="0"/>
                          <w:divBdr>
                            <w:top w:val="none" w:sz="0" w:space="0" w:color="auto"/>
                            <w:left w:val="none" w:sz="0" w:space="0" w:color="auto"/>
                            <w:bottom w:val="none" w:sz="0" w:space="0" w:color="auto"/>
                            <w:right w:val="none" w:sz="0" w:space="0" w:color="auto"/>
                          </w:divBdr>
                          <w:divsChild>
                            <w:div w:id="2029525813">
                              <w:marLeft w:val="0"/>
                              <w:marRight w:val="0"/>
                              <w:marTop w:val="0"/>
                              <w:marBottom w:val="0"/>
                              <w:divBdr>
                                <w:top w:val="none" w:sz="0" w:space="0" w:color="auto"/>
                                <w:left w:val="none" w:sz="0" w:space="0" w:color="auto"/>
                                <w:bottom w:val="none" w:sz="0" w:space="0" w:color="auto"/>
                                <w:right w:val="none" w:sz="0" w:space="0" w:color="auto"/>
                              </w:divBdr>
                              <w:divsChild>
                                <w:div w:id="530656809">
                                  <w:marLeft w:val="0"/>
                                  <w:marRight w:val="0"/>
                                  <w:marTop w:val="0"/>
                                  <w:marBottom w:val="0"/>
                                  <w:divBdr>
                                    <w:top w:val="none" w:sz="0" w:space="0" w:color="auto"/>
                                    <w:left w:val="none" w:sz="0" w:space="0" w:color="auto"/>
                                    <w:bottom w:val="none" w:sz="0" w:space="0" w:color="auto"/>
                                    <w:right w:val="none" w:sz="0" w:space="0" w:color="auto"/>
                                  </w:divBdr>
                                  <w:divsChild>
                                    <w:div w:id="91824381">
                                      <w:marLeft w:val="0"/>
                                      <w:marRight w:val="0"/>
                                      <w:marTop w:val="0"/>
                                      <w:marBottom w:val="0"/>
                                      <w:divBdr>
                                        <w:top w:val="none" w:sz="0" w:space="0" w:color="auto"/>
                                        <w:left w:val="none" w:sz="0" w:space="0" w:color="auto"/>
                                        <w:bottom w:val="none" w:sz="0" w:space="0" w:color="auto"/>
                                        <w:right w:val="none" w:sz="0" w:space="0" w:color="auto"/>
                                      </w:divBdr>
                                      <w:divsChild>
                                        <w:div w:id="79398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44668904">
                          <w:marLeft w:val="0"/>
                          <w:marRight w:val="0"/>
                          <w:marTop w:val="0"/>
                          <w:marBottom w:val="0"/>
                          <w:divBdr>
                            <w:top w:val="none" w:sz="0" w:space="0" w:color="auto"/>
                            <w:left w:val="none" w:sz="0" w:space="0" w:color="auto"/>
                            <w:bottom w:val="none" w:sz="0" w:space="0" w:color="auto"/>
                            <w:right w:val="none" w:sz="0" w:space="0" w:color="auto"/>
                          </w:divBdr>
                          <w:divsChild>
                            <w:div w:id="675379352">
                              <w:marLeft w:val="0"/>
                              <w:marRight w:val="0"/>
                              <w:marTop w:val="0"/>
                              <w:marBottom w:val="0"/>
                              <w:divBdr>
                                <w:top w:val="none" w:sz="0" w:space="0" w:color="auto"/>
                                <w:left w:val="none" w:sz="0" w:space="0" w:color="auto"/>
                                <w:bottom w:val="none" w:sz="0" w:space="0" w:color="auto"/>
                                <w:right w:val="none" w:sz="0" w:space="0" w:color="auto"/>
                              </w:divBdr>
                              <w:divsChild>
                                <w:div w:id="594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442356">
      <w:bodyDiv w:val="1"/>
      <w:marLeft w:val="0"/>
      <w:marRight w:val="0"/>
      <w:marTop w:val="0"/>
      <w:marBottom w:val="0"/>
      <w:divBdr>
        <w:top w:val="none" w:sz="0" w:space="0" w:color="auto"/>
        <w:left w:val="none" w:sz="0" w:space="0" w:color="auto"/>
        <w:bottom w:val="none" w:sz="0" w:space="0" w:color="auto"/>
        <w:right w:val="none" w:sz="0" w:space="0" w:color="auto"/>
      </w:divBdr>
    </w:div>
    <w:div w:id="884685344">
      <w:bodyDiv w:val="1"/>
      <w:marLeft w:val="0"/>
      <w:marRight w:val="0"/>
      <w:marTop w:val="0"/>
      <w:marBottom w:val="0"/>
      <w:divBdr>
        <w:top w:val="none" w:sz="0" w:space="0" w:color="auto"/>
        <w:left w:val="none" w:sz="0" w:space="0" w:color="auto"/>
        <w:bottom w:val="none" w:sz="0" w:space="0" w:color="auto"/>
        <w:right w:val="none" w:sz="0" w:space="0" w:color="auto"/>
      </w:divBdr>
    </w:div>
    <w:div w:id="943003676">
      <w:bodyDiv w:val="1"/>
      <w:marLeft w:val="0"/>
      <w:marRight w:val="0"/>
      <w:marTop w:val="0"/>
      <w:marBottom w:val="0"/>
      <w:divBdr>
        <w:top w:val="none" w:sz="0" w:space="0" w:color="auto"/>
        <w:left w:val="none" w:sz="0" w:space="0" w:color="auto"/>
        <w:bottom w:val="none" w:sz="0" w:space="0" w:color="auto"/>
        <w:right w:val="none" w:sz="0" w:space="0" w:color="auto"/>
      </w:divBdr>
    </w:div>
    <w:div w:id="956983235">
      <w:bodyDiv w:val="1"/>
      <w:marLeft w:val="0"/>
      <w:marRight w:val="0"/>
      <w:marTop w:val="0"/>
      <w:marBottom w:val="0"/>
      <w:divBdr>
        <w:top w:val="none" w:sz="0" w:space="0" w:color="auto"/>
        <w:left w:val="none" w:sz="0" w:space="0" w:color="auto"/>
        <w:bottom w:val="none" w:sz="0" w:space="0" w:color="auto"/>
        <w:right w:val="none" w:sz="0" w:space="0" w:color="auto"/>
      </w:divBdr>
    </w:div>
    <w:div w:id="962612051">
      <w:bodyDiv w:val="1"/>
      <w:marLeft w:val="0"/>
      <w:marRight w:val="0"/>
      <w:marTop w:val="0"/>
      <w:marBottom w:val="0"/>
      <w:divBdr>
        <w:top w:val="none" w:sz="0" w:space="0" w:color="auto"/>
        <w:left w:val="none" w:sz="0" w:space="0" w:color="auto"/>
        <w:bottom w:val="none" w:sz="0" w:space="0" w:color="auto"/>
        <w:right w:val="none" w:sz="0" w:space="0" w:color="auto"/>
      </w:divBdr>
    </w:div>
    <w:div w:id="989405045">
      <w:bodyDiv w:val="1"/>
      <w:marLeft w:val="0"/>
      <w:marRight w:val="0"/>
      <w:marTop w:val="0"/>
      <w:marBottom w:val="0"/>
      <w:divBdr>
        <w:top w:val="none" w:sz="0" w:space="0" w:color="auto"/>
        <w:left w:val="none" w:sz="0" w:space="0" w:color="auto"/>
        <w:bottom w:val="none" w:sz="0" w:space="0" w:color="auto"/>
        <w:right w:val="none" w:sz="0" w:space="0" w:color="auto"/>
      </w:divBdr>
      <w:divsChild>
        <w:div w:id="528372436">
          <w:marLeft w:val="0"/>
          <w:marRight w:val="0"/>
          <w:marTop w:val="0"/>
          <w:marBottom w:val="0"/>
          <w:divBdr>
            <w:top w:val="none" w:sz="0" w:space="0" w:color="auto"/>
            <w:left w:val="none" w:sz="0" w:space="0" w:color="auto"/>
            <w:bottom w:val="none" w:sz="0" w:space="0" w:color="auto"/>
            <w:right w:val="none" w:sz="0" w:space="0" w:color="auto"/>
          </w:divBdr>
          <w:divsChild>
            <w:div w:id="1034311840">
              <w:marLeft w:val="0"/>
              <w:marRight w:val="0"/>
              <w:marTop w:val="0"/>
              <w:marBottom w:val="0"/>
              <w:divBdr>
                <w:top w:val="none" w:sz="0" w:space="0" w:color="auto"/>
                <w:left w:val="none" w:sz="0" w:space="0" w:color="auto"/>
                <w:bottom w:val="none" w:sz="0" w:space="0" w:color="auto"/>
                <w:right w:val="none" w:sz="0" w:space="0" w:color="auto"/>
              </w:divBdr>
              <w:divsChild>
                <w:div w:id="450823930">
                  <w:marLeft w:val="0"/>
                  <w:marRight w:val="0"/>
                  <w:marTop w:val="0"/>
                  <w:marBottom w:val="0"/>
                  <w:divBdr>
                    <w:top w:val="none" w:sz="0" w:space="0" w:color="auto"/>
                    <w:left w:val="none" w:sz="0" w:space="0" w:color="auto"/>
                    <w:bottom w:val="none" w:sz="0" w:space="0" w:color="auto"/>
                    <w:right w:val="none" w:sz="0" w:space="0" w:color="auto"/>
                  </w:divBdr>
                  <w:divsChild>
                    <w:div w:id="1728410943">
                      <w:marLeft w:val="0"/>
                      <w:marRight w:val="0"/>
                      <w:marTop w:val="0"/>
                      <w:marBottom w:val="0"/>
                      <w:divBdr>
                        <w:top w:val="none" w:sz="0" w:space="0" w:color="auto"/>
                        <w:left w:val="none" w:sz="0" w:space="0" w:color="auto"/>
                        <w:bottom w:val="none" w:sz="0" w:space="0" w:color="auto"/>
                        <w:right w:val="none" w:sz="0" w:space="0" w:color="auto"/>
                      </w:divBdr>
                      <w:divsChild>
                        <w:div w:id="2048066522">
                          <w:marLeft w:val="0"/>
                          <w:marRight w:val="0"/>
                          <w:marTop w:val="0"/>
                          <w:marBottom w:val="0"/>
                          <w:divBdr>
                            <w:top w:val="none" w:sz="0" w:space="0" w:color="auto"/>
                            <w:left w:val="none" w:sz="0" w:space="0" w:color="auto"/>
                            <w:bottom w:val="none" w:sz="0" w:space="0" w:color="auto"/>
                            <w:right w:val="none" w:sz="0" w:space="0" w:color="auto"/>
                          </w:divBdr>
                          <w:divsChild>
                            <w:div w:id="1052272891">
                              <w:marLeft w:val="0"/>
                              <w:marRight w:val="0"/>
                              <w:marTop w:val="0"/>
                              <w:marBottom w:val="0"/>
                              <w:divBdr>
                                <w:top w:val="none" w:sz="0" w:space="0" w:color="auto"/>
                                <w:left w:val="none" w:sz="0" w:space="0" w:color="auto"/>
                                <w:bottom w:val="none" w:sz="0" w:space="0" w:color="auto"/>
                                <w:right w:val="none" w:sz="0" w:space="0" w:color="auto"/>
                              </w:divBdr>
                              <w:divsChild>
                                <w:div w:id="1245340670">
                                  <w:marLeft w:val="0"/>
                                  <w:marRight w:val="0"/>
                                  <w:marTop w:val="0"/>
                                  <w:marBottom w:val="0"/>
                                  <w:divBdr>
                                    <w:top w:val="none" w:sz="0" w:space="0" w:color="auto"/>
                                    <w:left w:val="none" w:sz="0" w:space="0" w:color="auto"/>
                                    <w:bottom w:val="none" w:sz="0" w:space="0" w:color="auto"/>
                                    <w:right w:val="none" w:sz="0" w:space="0" w:color="auto"/>
                                  </w:divBdr>
                                  <w:divsChild>
                                    <w:div w:id="1732802116">
                                      <w:marLeft w:val="0"/>
                                      <w:marRight w:val="0"/>
                                      <w:marTop w:val="0"/>
                                      <w:marBottom w:val="0"/>
                                      <w:divBdr>
                                        <w:top w:val="none" w:sz="0" w:space="0" w:color="auto"/>
                                        <w:left w:val="none" w:sz="0" w:space="0" w:color="auto"/>
                                        <w:bottom w:val="none" w:sz="0" w:space="0" w:color="auto"/>
                                        <w:right w:val="none" w:sz="0" w:space="0" w:color="auto"/>
                                      </w:divBdr>
                                      <w:divsChild>
                                        <w:div w:id="13556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4302492">
                          <w:marLeft w:val="0"/>
                          <w:marRight w:val="0"/>
                          <w:marTop w:val="0"/>
                          <w:marBottom w:val="0"/>
                          <w:divBdr>
                            <w:top w:val="none" w:sz="0" w:space="0" w:color="auto"/>
                            <w:left w:val="none" w:sz="0" w:space="0" w:color="auto"/>
                            <w:bottom w:val="none" w:sz="0" w:space="0" w:color="auto"/>
                            <w:right w:val="none" w:sz="0" w:space="0" w:color="auto"/>
                          </w:divBdr>
                          <w:divsChild>
                            <w:div w:id="1657495342">
                              <w:marLeft w:val="0"/>
                              <w:marRight w:val="0"/>
                              <w:marTop w:val="0"/>
                              <w:marBottom w:val="0"/>
                              <w:divBdr>
                                <w:top w:val="none" w:sz="0" w:space="0" w:color="auto"/>
                                <w:left w:val="none" w:sz="0" w:space="0" w:color="auto"/>
                                <w:bottom w:val="none" w:sz="0" w:space="0" w:color="auto"/>
                                <w:right w:val="none" w:sz="0" w:space="0" w:color="auto"/>
                              </w:divBdr>
                              <w:divsChild>
                                <w:div w:id="11445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571047">
      <w:bodyDiv w:val="1"/>
      <w:marLeft w:val="0"/>
      <w:marRight w:val="0"/>
      <w:marTop w:val="0"/>
      <w:marBottom w:val="0"/>
      <w:divBdr>
        <w:top w:val="none" w:sz="0" w:space="0" w:color="auto"/>
        <w:left w:val="none" w:sz="0" w:space="0" w:color="auto"/>
        <w:bottom w:val="none" w:sz="0" w:space="0" w:color="auto"/>
        <w:right w:val="none" w:sz="0" w:space="0" w:color="auto"/>
      </w:divBdr>
    </w:div>
    <w:div w:id="1057513898">
      <w:bodyDiv w:val="1"/>
      <w:marLeft w:val="0"/>
      <w:marRight w:val="0"/>
      <w:marTop w:val="0"/>
      <w:marBottom w:val="0"/>
      <w:divBdr>
        <w:top w:val="none" w:sz="0" w:space="0" w:color="auto"/>
        <w:left w:val="none" w:sz="0" w:space="0" w:color="auto"/>
        <w:bottom w:val="none" w:sz="0" w:space="0" w:color="auto"/>
        <w:right w:val="none" w:sz="0" w:space="0" w:color="auto"/>
      </w:divBdr>
    </w:div>
    <w:div w:id="1129667298">
      <w:bodyDiv w:val="1"/>
      <w:marLeft w:val="0"/>
      <w:marRight w:val="0"/>
      <w:marTop w:val="0"/>
      <w:marBottom w:val="0"/>
      <w:divBdr>
        <w:top w:val="none" w:sz="0" w:space="0" w:color="auto"/>
        <w:left w:val="none" w:sz="0" w:space="0" w:color="auto"/>
        <w:bottom w:val="none" w:sz="0" w:space="0" w:color="auto"/>
        <w:right w:val="none" w:sz="0" w:space="0" w:color="auto"/>
      </w:divBdr>
    </w:div>
    <w:div w:id="1130175272">
      <w:bodyDiv w:val="1"/>
      <w:marLeft w:val="0"/>
      <w:marRight w:val="0"/>
      <w:marTop w:val="0"/>
      <w:marBottom w:val="0"/>
      <w:divBdr>
        <w:top w:val="none" w:sz="0" w:space="0" w:color="auto"/>
        <w:left w:val="none" w:sz="0" w:space="0" w:color="auto"/>
        <w:bottom w:val="none" w:sz="0" w:space="0" w:color="auto"/>
        <w:right w:val="none" w:sz="0" w:space="0" w:color="auto"/>
      </w:divBdr>
    </w:div>
    <w:div w:id="1137838754">
      <w:bodyDiv w:val="1"/>
      <w:marLeft w:val="0"/>
      <w:marRight w:val="0"/>
      <w:marTop w:val="0"/>
      <w:marBottom w:val="0"/>
      <w:divBdr>
        <w:top w:val="none" w:sz="0" w:space="0" w:color="auto"/>
        <w:left w:val="none" w:sz="0" w:space="0" w:color="auto"/>
        <w:bottom w:val="none" w:sz="0" w:space="0" w:color="auto"/>
        <w:right w:val="none" w:sz="0" w:space="0" w:color="auto"/>
      </w:divBdr>
    </w:div>
    <w:div w:id="1168788303">
      <w:bodyDiv w:val="1"/>
      <w:marLeft w:val="0"/>
      <w:marRight w:val="0"/>
      <w:marTop w:val="0"/>
      <w:marBottom w:val="0"/>
      <w:divBdr>
        <w:top w:val="none" w:sz="0" w:space="0" w:color="auto"/>
        <w:left w:val="none" w:sz="0" w:space="0" w:color="auto"/>
        <w:bottom w:val="none" w:sz="0" w:space="0" w:color="auto"/>
        <w:right w:val="none" w:sz="0" w:space="0" w:color="auto"/>
      </w:divBdr>
    </w:div>
    <w:div w:id="1219197220">
      <w:bodyDiv w:val="1"/>
      <w:marLeft w:val="0"/>
      <w:marRight w:val="0"/>
      <w:marTop w:val="0"/>
      <w:marBottom w:val="0"/>
      <w:divBdr>
        <w:top w:val="none" w:sz="0" w:space="0" w:color="auto"/>
        <w:left w:val="none" w:sz="0" w:space="0" w:color="auto"/>
        <w:bottom w:val="none" w:sz="0" w:space="0" w:color="auto"/>
        <w:right w:val="none" w:sz="0" w:space="0" w:color="auto"/>
      </w:divBdr>
    </w:div>
    <w:div w:id="1229262223">
      <w:bodyDiv w:val="1"/>
      <w:marLeft w:val="0"/>
      <w:marRight w:val="0"/>
      <w:marTop w:val="0"/>
      <w:marBottom w:val="0"/>
      <w:divBdr>
        <w:top w:val="none" w:sz="0" w:space="0" w:color="auto"/>
        <w:left w:val="none" w:sz="0" w:space="0" w:color="auto"/>
        <w:bottom w:val="none" w:sz="0" w:space="0" w:color="auto"/>
        <w:right w:val="none" w:sz="0" w:space="0" w:color="auto"/>
      </w:divBdr>
    </w:div>
    <w:div w:id="1258487994">
      <w:bodyDiv w:val="1"/>
      <w:marLeft w:val="0"/>
      <w:marRight w:val="0"/>
      <w:marTop w:val="0"/>
      <w:marBottom w:val="0"/>
      <w:divBdr>
        <w:top w:val="none" w:sz="0" w:space="0" w:color="auto"/>
        <w:left w:val="none" w:sz="0" w:space="0" w:color="auto"/>
        <w:bottom w:val="none" w:sz="0" w:space="0" w:color="auto"/>
        <w:right w:val="none" w:sz="0" w:space="0" w:color="auto"/>
      </w:divBdr>
      <w:divsChild>
        <w:div w:id="1590234662">
          <w:marLeft w:val="0"/>
          <w:marRight w:val="0"/>
          <w:marTop w:val="0"/>
          <w:marBottom w:val="0"/>
          <w:divBdr>
            <w:top w:val="none" w:sz="0" w:space="0" w:color="auto"/>
            <w:left w:val="none" w:sz="0" w:space="0" w:color="auto"/>
            <w:bottom w:val="none" w:sz="0" w:space="0" w:color="auto"/>
            <w:right w:val="none" w:sz="0" w:space="0" w:color="auto"/>
          </w:divBdr>
          <w:divsChild>
            <w:div w:id="1249339690">
              <w:marLeft w:val="0"/>
              <w:marRight w:val="0"/>
              <w:marTop w:val="0"/>
              <w:marBottom w:val="0"/>
              <w:divBdr>
                <w:top w:val="none" w:sz="0" w:space="0" w:color="auto"/>
                <w:left w:val="none" w:sz="0" w:space="0" w:color="auto"/>
                <w:bottom w:val="none" w:sz="0" w:space="0" w:color="auto"/>
                <w:right w:val="none" w:sz="0" w:space="0" w:color="auto"/>
              </w:divBdr>
            </w:div>
            <w:div w:id="522135645">
              <w:marLeft w:val="0"/>
              <w:marRight w:val="0"/>
              <w:marTop w:val="0"/>
              <w:marBottom w:val="0"/>
              <w:divBdr>
                <w:top w:val="none" w:sz="0" w:space="0" w:color="auto"/>
                <w:left w:val="none" w:sz="0" w:space="0" w:color="auto"/>
                <w:bottom w:val="none" w:sz="0" w:space="0" w:color="auto"/>
                <w:right w:val="none" w:sz="0" w:space="0" w:color="auto"/>
              </w:divBdr>
            </w:div>
            <w:div w:id="282346427">
              <w:marLeft w:val="0"/>
              <w:marRight w:val="0"/>
              <w:marTop w:val="0"/>
              <w:marBottom w:val="0"/>
              <w:divBdr>
                <w:top w:val="none" w:sz="0" w:space="0" w:color="auto"/>
                <w:left w:val="none" w:sz="0" w:space="0" w:color="auto"/>
                <w:bottom w:val="none" w:sz="0" w:space="0" w:color="auto"/>
                <w:right w:val="none" w:sz="0" w:space="0" w:color="auto"/>
              </w:divBdr>
            </w:div>
            <w:div w:id="1941990301">
              <w:marLeft w:val="0"/>
              <w:marRight w:val="0"/>
              <w:marTop w:val="0"/>
              <w:marBottom w:val="0"/>
              <w:divBdr>
                <w:top w:val="none" w:sz="0" w:space="0" w:color="auto"/>
                <w:left w:val="none" w:sz="0" w:space="0" w:color="auto"/>
                <w:bottom w:val="none" w:sz="0" w:space="0" w:color="auto"/>
                <w:right w:val="none" w:sz="0" w:space="0" w:color="auto"/>
              </w:divBdr>
            </w:div>
            <w:div w:id="205408646">
              <w:marLeft w:val="0"/>
              <w:marRight w:val="0"/>
              <w:marTop w:val="0"/>
              <w:marBottom w:val="0"/>
              <w:divBdr>
                <w:top w:val="none" w:sz="0" w:space="0" w:color="auto"/>
                <w:left w:val="none" w:sz="0" w:space="0" w:color="auto"/>
                <w:bottom w:val="none" w:sz="0" w:space="0" w:color="auto"/>
                <w:right w:val="none" w:sz="0" w:space="0" w:color="auto"/>
              </w:divBdr>
            </w:div>
            <w:div w:id="10860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074">
      <w:bodyDiv w:val="1"/>
      <w:marLeft w:val="0"/>
      <w:marRight w:val="0"/>
      <w:marTop w:val="0"/>
      <w:marBottom w:val="0"/>
      <w:divBdr>
        <w:top w:val="none" w:sz="0" w:space="0" w:color="auto"/>
        <w:left w:val="none" w:sz="0" w:space="0" w:color="auto"/>
        <w:bottom w:val="none" w:sz="0" w:space="0" w:color="auto"/>
        <w:right w:val="none" w:sz="0" w:space="0" w:color="auto"/>
      </w:divBdr>
    </w:div>
    <w:div w:id="1413159501">
      <w:bodyDiv w:val="1"/>
      <w:marLeft w:val="0"/>
      <w:marRight w:val="0"/>
      <w:marTop w:val="0"/>
      <w:marBottom w:val="0"/>
      <w:divBdr>
        <w:top w:val="none" w:sz="0" w:space="0" w:color="auto"/>
        <w:left w:val="none" w:sz="0" w:space="0" w:color="auto"/>
        <w:bottom w:val="none" w:sz="0" w:space="0" w:color="auto"/>
        <w:right w:val="none" w:sz="0" w:space="0" w:color="auto"/>
      </w:divBdr>
    </w:div>
    <w:div w:id="1442148933">
      <w:bodyDiv w:val="1"/>
      <w:marLeft w:val="0"/>
      <w:marRight w:val="0"/>
      <w:marTop w:val="0"/>
      <w:marBottom w:val="0"/>
      <w:divBdr>
        <w:top w:val="none" w:sz="0" w:space="0" w:color="auto"/>
        <w:left w:val="none" w:sz="0" w:space="0" w:color="auto"/>
        <w:bottom w:val="none" w:sz="0" w:space="0" w:color="auto"/>
        <w:right w:val="none" w:sz="0" w:space="0" w:color="auto"/>
      </w:divBdr>
    </w:div>
    <w:div w:id="1460302881">
      <w:bodyDiv w:val="1"/>
      <w:marLeft w:val="0"/>
      <w:marRight w:val="0"/>
      <w:marTop w:val="0"/>
      <w:marBottom w:val="0"/>
      <w:divBdr>
        <w:top w:val="none" w:sz="0" w:space="0" w:color="auto"/>
        <w:left w:val="none" w:sz="0" w:space="0" w:color="auto"/>
        <w:bottom w:val="none" w:sz="0" w:space="0" w:color="auto"/>
        <w:right w:val="none" w:sz="0" w:space="0" w:color="auto"/>
      </w:divBdr>
      <w:divsChild>
        <w:div w:id="153836916">
          <w:marLeft w:val="0"/>
          <w:marRight w:val="0"/>
          <w:marTop w:val="0"/>
          <w:marBottom w:val="0"/>
          <w:divBdr>
            <w:top w:val="none" w:sz="0" w:space="0" w:color="auto"/>
            <w:left w:val="none" w:sz="0" w:space="0" w:color="auto"/>
            <w:bottom w:val="none" w:sz="0" w:space="0" w:color="auto"/>
            <w:right w:val="none" w:sz="0" w:space="0" w:color="auto"/>
          </w:divBdr>
          <w:divsChild>
            <w:div w:id="2039692590">
              <w:marLeft w:val="0"/>
              <w:marRight w:val="0"/>
              <w:marTop w:val="0"/>
              <w:marBottom w:val="0"/>
              <w:divBdr>
                <w:top w:val="none" w:sz="0" w:space="0" w:color="auto"/>
                <w:left w:val="none" w:sz="0" w:space="0" w:color="auto"/>
                <w:bottom w:val="none" w:sz="0" w:space="0" w:color="auto"/>
                <w:right w:val="none" w:sz="0" w:space="0" w:color="auto"/>
              </w:divBdr>
            </w:div>
            <w:div w:id="374618023">
              <w:marLeft w:val="0"/>
              <w:marRight w:val="0"/>
              <w:marTop w:val="0"/>
              <w:marBottom w:val="0"/>
              <w:divBdr>
                <w:top w:val="none" w:sz="0" w:space="0" w:color="auto"/>
                <w:left w:val="none" w:sz="0" w:space="0" w:color="auto"/>
                <w:bottom w:val="none" w:sz="0" w:space="0" w:color="auto"/>
                <w:right w:val="none" w:sz="0" w:space="0" w:color="auto"/>
              </w:divBdr>
              <w:divsChild>
                <w:div w:id="1109473211">
                  <w:marLeft w:val="0"/>
                  <w:marRight w:val="0"/>
                  <w:marTop w:val="0"/>
                  <w:marBottom w:val="0"/>
                  <w:divBdr>
                    <w:top w:val="none" w:sz="0" w:space="0" w:color="auto"/>
                    <w:left w:val="none" w:sz="0" w:space="0" w:color="auto"/>
                    <w:bottom w:val="none" w:sz="0" w:space="0" w:color="auto"/>
                    <w:right w:val="none" w:sz="0" w:space="0" w:color="auto"/>
                  </w:divBdr>
                  <w:divsChild>
                    <w:div w:id="5043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4429">
      <w:bodyDiv w:val="1"/>
      <w:marLeft w:val="0"/>
      <w:marRight w:val="0"/>
      <w:marTop w:val="0"/>
      <w:marBottom w:val="0"/>
      <w:divBdr>
        <w:top w:val="none" w:sz="0" w:space="0" w:color="auto"/>
        <w:left w:val="none" w:sz="0" w:space="0" w:color="auto"/>
        <w:bottom w:val="none" w:sz="0" w:space="0" w:color="auto"/>
        <w:right w:val="none" w:sz="0" w:space="0" w:color="auto"/>
      </w:divBdr>
      <w:divsChild>
        <w:div w:id="1215851703">
          <w:marLeft w:val="0"/>
          <w:marRight w:val="0"/>
          <w:marTop w:val="0"/>
          <w:marBottom w:val="0"/>
          <w:divBdr>
            <w:top w:val="none" w:sz="0" w:space="0" w:color="auto"/>
            <w:left w:val="none" w:sz="0" w:space="0" w:color="auto"/>
            <w:bottom w:val="none" w:sz="0" w:space="0" w:color="auto"/>
            <w:right w:val="none" w:sz="0" w:space="0" w:color="auto"/>
          </w:divBdr>
          <w:divsChild>
            <w:div w:id="764763114">
              <w:marLeft w:val="0"/>
              <w:marRight w:val="0"/>
              <w:marTop w:val="0"/>
              <w:marBottom w:val="0"/>
              <w:divBdr>
                <w:top w:val="none" w:sz="0" w:space="0" w:color="auto"/>
                <w:left w:val="none" w:sz="0" w:space="0" w:color="auto"/>
                <w:bottom w:val="none" w:sz="0" w:space="0" w:color="auto"/>
                <w:right w:val="none" w:sz="0" w:space="0" w:color="auto"/>
              </w:divBdr>
              <w:divsChild>
                <w:div w:id="1087766783">
                  <w:marLeft w:val="0"/>
                  <w:marRight w:val="0"/>
                  <w:marTop w:val="0"/>
                  <w:marBottom w:val="0"/>
                  <w:divBdr>
                    <w:top w:val="none" w:sz="0" w:space="0" w:color="auto"/>
                    <w:left w:val="none" w:sz="0" w:space="0" w:color="auto"/>
                    <w:bottom w:val="none" w:sz="0" w:space="0" w:color="auto"/>
                    <w:right w:val="none" w:sz="0" w:space="0" w:color="auto"/>
                  </w:divBdr>
                  <w:divsChild>
                    <w:div w:id="808404161">
                      <w:marLeft w:val="0"/>
                      <w:marRight w:val="0"/>
                      <w:marTop w:val="0"/>
                      <w:marBottom w:val="0"/>
                      <w:divBdr>
                        <w:top w:val="none" w:sz="0" w:space="0" w:color="auto"/>
                        <w:left w:val="none" w:sz="0" w:space="0" w:color="auto"/>
                        <w:bottom w:val="none" w:sz="0" w:space="0" w:color="auto"/>
                        <w:right w:val="none" w:sz="0" w:space="0" w:color="auto"/>
                      </w:divBdr>
                      <w:divsChild>
                        <w:div w:id="131679734">
                          <w:marLeft w:val="0"/>
                          <w:marRight w:val="0"/>
                          <w:marTop w:val="0"/>
                          <w:marBottom w:val="0"/>
                          <w:divBdr>
                            <w:top w:val="none" w:sz="0" w:space="0" w:color="auto"/>
                            <w:left w:val="none" w:sz="0" w:space="0" w:color="auto"/>
                            <w:bottom w:val="none" w:sz="0" w:space="0" w:color="auto"/>
                            <w:right w:val="none" w:sz="0" w:space="0" w:color="auto"/>
                          </w:divBdr>
                          <w:divsChild>
                            <w:div w:id="1018047154">
                              <w:marLeft w:val="0"/>
                              <w:marRight w:val="0"/>
                              <w:marTop w:val="0"/>
                              <w:marBottom w:val="0"/>
                              <w:divBdr>
                                <w:top w:val="none" w:sz="0" w:space="0" w:color="auto"/>
                                <w:left w:val="none" w:sz="0" w:space="0" w:color="auto"/>
                                <w:bottom w:val="none" w:sz="0" w:space="0" w:color="auto"/>
                                <w:right w:val="none" w:sz="0" w:space="0" w:color="auto"/>
                              </w:divBdr>
                              <w:divsChild>
                                <w:div w:id="1876961057">
                                  <w:marLeft w:val="0"/>
                                  <w:marRight w:val="0"/>
                                  <w:marTop w:val="0"/>
                                  <w:marBottom w:val="0"/>
                                  <w:divBdr>
                                    <w:top w:val="none" w:sz="0" w:space="0" w:color="auto"/>
                                    <w:left w:val="none" w:sz="0" w:space="0" w:color="auto"/>
                                    <w:bottom w:val="none" w:sz="0" w:space="0" w:color="auto"/>
                                    <w:right w:val="none" w:sz="0" w:space="0" w:color="auto"/>
                                  </w:divBdr>
                                  <w:divsChild>
                                    <w:div w:id="12319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2069">
                          <w:marLeft w:val="0"/>
                          <w:marRight w:val="0"/>
                          <w:marTop w:val="0"/>
                          <w:marBottom w:val="0"/>
                          <w:divBdr>
                            <w:top w:val="none" w:sz="0" w:space="0" w:color="auto"/>
                            <w:left w:val="none" w:sz="0" w:space="0" w:color="auto"/>
                            <w:bottom w:val="none" w:sz="0" w:space="0" w:color="auto"/>
                            <w:right w:val="none" w:sz="0" w:space="0" w:color="auto"/>
                          </w:divBdr>
                          <w:divsChild>
                            <w:div w:id="1502500878">
                              <w:marLeft w:val="0"/>
                              <w:marRight w:val="0"/>
                              <w:marTop w:val="0"/>
                              <w:marBottom w:val="0"/>
                              <w:divBdr>
                                <w:top w:val="none" w:sz="0" w:space="0" w:color="auto"/>
                                <w:left w:val="none" w:sz="0" w:space="0" w:color="auto"/>
                                <w:bottom w:val="none" w:sz="0" w:space="0" w:color="auto"/>
                                <w:right w:val="none" w:sz="0" w:space="0" w:color="auto"/>
                              </w:divBdr>
                              <w:divsChild>
                                <w:div w:id="267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73203">
      <w:bodyDiv w:val="1"/>
      <w:marLeft w:val="0"/>
      <w:marRight w:val="0"/>
      <w:marTop w:val="0"/>
      <w:marBottom w:val="0"/>
      <w:divBdr>
        <w:top w:val="none" w:sz="0" w:space="0" w:color="auto"/>
        <w:left w:val="none" w:sz="0" w:space="0" w:color="auto"/>
        <w:bottom w:val="none" w:sz="0" w:space="0" w:color="auto"/>
        <w:right w:val="none" w:sz="0" w:space="0" w:color="auto"/>
      </w:divBdr>
    </w:div>
    <w:div w:id="1505124650">
      <w:bodyDiv w:val="1"/>
      <w:marLeft w:val="0"/>
      <w:marRight w:val="0"/>
      <w:marTop w:val="0"/>
      <w:marBottom w:val="0"/>
      <w:divBdr>
        <w:top w:val="none" w:sz="0" w:space="0" w:color="auto"/>
        <w:left w:val="none" w:sz="0" w:space="0" w:color="auto"/>
        <w:bottom w:val="none" w:sz="0" w:space="0" w:color="auto"/>
        <w:right w:val="none" w:sz="0" w:space="0" w:color="auto"/>
      </w:divBdr>
    </w:div>
    <w:div w:id="1525821432">
      <w:bodyDiv w:val="1"/>
      <w:marLeft w:val="0"/>
      <w:marRight w:val="0"/>
      <w:marTop w:val="0"/>
      <w:marBottom w:val="0"/>
      <w:divBdr>
        <w:top w:val="none" w:sz="0" w:space="0" w:color="auto"/>
        <w:left w:val="none" w:sz="0" w:space="0" w:color="auto"/>
        <w:bottom w:val="none" w:sz="0" w:space="0" w:color="auto"/>
        <w:right w:val="none" w:sz="0" w:space="0" w:color="auto"/>
      </w:divBdr>
    </w:div>
    <w:div w:id="1546982489">
      <w:bodyDiv w:val="1"/>
      <w:marLeft w:val="0"/>
      <w:marRight w:val="0"/>
      <w:marTop w:val="0"/>
      <w:marBottom w:val="0"/>
      <w:divBdr>
        <w:top w:val="none" w:sz="0" w:space="0" w:color="auto"/>
        <w:left w:val="none" w:sz="0" w:space="0" w:color="auto"/>
        <w:bottom w:val="none" w:sz="0" w:space="0" w:color="auto"/>
        <w:right w:val="none" w:sz="0" w:space="0" w:color="auto"/>
      </w:divBdr>
    </w:div>
    <w:div w:id="1575896896">
      <w:bodyDiv w:val="1"/>
      <w:marLeft w:val="0"/>
      <w:marRight w:val="0"/>
      <w:marTop w:val="0"/>
      <w:marBottom w:val="0"/>
      <w:divBdr>
        <w:top w:val="none" w:sz="0" w:space="0" w:color="auto"/>
        <w:left w:val="none" w:sz="0" w:space="0" w:color="auto"/>
        <w:bottom w:val="none" w:sz="0" w:space="0" w:color="auto"/>
        <w:right w:val="none" w:sz="0" w:space="0" w:color="auto"/>
      </w:divBdr>
    </w:div>
    <w:div w:id="1606842621">
      <w:bodyDiv w:val="1"/>
      <w:marLeft w:val="0"/>
      <w:marRight w:val="0"/>
      <w:marTop w:val="0"/>
      <w:marBottom w:val="0"/>
      <w:divBdr>
        <w:top w:val="none" w:sz="0" w:space="0" w:color="auto"/>
        <w:left w:val="none" w:sz="0" w:space="0" w:color="auto"/>
        <w:bottom w:val="none" w:sz="0" w:space="0" w:color="auto"/>
        <w:right w:val="none" w:sz="0" w:space="0" w:color="auto"/>
      </w:divBdr>
    </w:div>
    <w:div w:id="1612662913">
      <w:bodyDiv w:val="1"/>
      <w:marLeft w:val="0"/>
      <w:marRight w:val="0"/>
      <w:marTop w:val="0"/>
      <w:marBottom w:val="0"/>
      <w:divBdr>
        <w:top w:val="none" w:sz="0" w:space="0" w:color="auto"/>
        <w:left w:val="none" w:sz="0" w:space="0" w:color="auto"/>
        <w:bottom w:val="none" w:sz="0" w:space="0" w:color="auto"/>
        <w:right w:val="none" w:sz="0" w:space="0" w:color="auto"/>
      </w:divBdr>
    </w:div>
    <w:div w:id="1650283235">
      <w:bodyDiv w:val="1"/>
      <w:marLeft w:val="0"/>
      <w:marRight w:val="0"/>
      <w:marTop w:val="0"/>
      <w:marBottom w:val="0"/>
      <w:divBdr>
        <w:top w:val="none" w:sz="0" w:space="0" w:color="auto"/>
        <w:left w:val="none" w:sz="0" w:space="0" w:color="auto"/>
        <w:bottom w:val="none" w:sz="0" w:space="0" w:color="auto"/>
        <w:right w:val="none" w:sz="0" w:space="0" w:color="auto"/>
      </w:divBdr>
    </w:div>
    <w:div w:id="1672098616">
      <w:bodyDiv w:val="1"/>
      <w:marLeft w:val="0"/>
      <w:marRight w:val="0"/>
      <w:marTop w:val="0"/>
      <w:marBottom w:val="0"/>
      <w:divBdr>
        <w:top w:val="none" w:sz="0" w:space="0" w:color="auto"/>
        <w:left w:val="none" w:sz="0" w:space="0" w:color="auto"/>
        <w:bottom w:val="none" w:sz="0" w:space="0" w:color="auto"/>
        <w:right w:val="none" w:sz="0" w:space="0" w:color="auto"/>
      </w:divBdr>
    </w:div>
    <w:div w:id="1682782274">
      <w:bodyDiv w:val="1"/>
      <w:marLeft w:val="0"/>
      <w:marRight w:val="0"/>
      <w:marTop w:val="0"/>
      <w:marBottom w:val="0"/>
      <w:divBdr>
        <w:top w:val="none" w:sz="0" w:space="0" w:color="auto"/>
        <w:left w:val="none" w:sz="0" w:space="0" w:color="auto"/>
        <w:bottom w:val="none" w:sz="0" w:space="0" w:color="auto"/>
        <w:right w:val="none" w:sz="0" w:space="0" w:color="auto"/>
      </w:divBdr>
    </w:div>
    <w:div w:id="1961302078">
      <w:bodyDiv w:val="1"/>
      <w:marLeft w:val="0"/>
      <w:marRight w:val="0"/>
      <w:marTop w:val="0"/>
      <w:marBottom w:val="0"/>
      <w:divBdr>
        <w:top w:val="none" w:sz="0" w:space="0" w:color="auto"/>
        <w:left w:val="none" w:sz="0" w:space="0" w:color="auto"/>
        <w:bottom w:val="none" w:sz="0" w:space="0" w:color="auto"/>
        <w:right w:val="none" w:sz="0" w:space="0" w:color="auto"/>
      </w:divBdr>
      <w:divsChild>
        <w:div w:id="236792674">
          <w:marLeft w:val="0"/>
          <w:marRight w:val="0"/>
          <w:marTop w:val="0"/>
          <w:marBottom w:val="0"/>
          <w:divBdr>
            <w:top w:val="none" w:sz="0" w:space="0" w:color="auto"/>
            <w:left w:val="none" w:sz="0" w:space="0" w:color="auto"/>
            <w:bottom w:val="none" w:sz="0" w:space="0" w:color="auto"/>
            <w:right w:val="none" w:sz="0" w:space="0" w:color="auto"/>
          </w:divBdr>
          <w:divsChild>
            <w:div w:id="136535183">
              <w:marLeft w:val="0"/>
              <w:marRight w:val="0"/>
              <w:marTop w:val="0"/>
              <w:marBottom w:val="0"/>
              <w:divBdr>
                <w:top w:val="none" w:sz="0" w:space="0" w:color="auto"/>
                <w:left w:val="none" w:sz="0" w:space="0" w:color="auto"/>
                <w:bottom w:val="none" w:sz="0" w:space="0" w:color="auto"/>
                <w:right w:val="none" w:sz="0" w:space="0" w:color="auto"/>
              </w:divBdr>
              <w:divsChild>
                <w:div w:id="77020631">
                  <w:marLeft w:val="0"/>
                  <w:marRight w:val="0"/>
                  <w:marTop w:val="0"/>
                  <w:marBottom w:val="0"/>
                  <w:divBdr>
                    <w:top w:val="none" w:sz="0" w:space="0" w:color="auto"/>
                    <w:left w:val="none" w:sz="0" w:space="0" w:color="auto"/>
                    <w:bottom w:val="none" w:sz="0" w:space="0" w:color="auto"/>
                    <w:right w:val="none" w:sz="0" w:space="0" w:color="auto"/>
                  </w:divBdr>
                  <w:divsChild>
                    <w:div w:id="459224188">
                      <w:marLeft w:val="0"/>
                      <w:marRight w:val="0"/>
                      <w:marTop w:val="0"/>
                      <w:marBottom w:val="0"/>
                      <w:divBdr>
                        <w:top w:val="none" w:sz="0" w:space="0" w:color="auto"/>
                        <w:left w:val="none" w:sz="0" w:space="0" w:color="auto"/>
                        <w:bottom w:val="none" w:sz="0" w:space="0" w:color="auto"/>
                        <w:right w:val="none" w:sz="0" w:space="0" w:color="auto"/>
                      </w:divBdr>
                      <w:divsChild>
                        <w:div w:id="1081174948">
                          <w:marLeft w:val="0"/>
                          <w:marRight w:val="0"/>
                          <w:marTop w:val="0"/>
                          <w:marBottom w:val="0"/>
                          <w:divBdr>
                            <w:top w:val="none" w:sz="0" w:space="0" w:color="auto"/>
                            <w:left w:val="none" w:sz="0" w:space="0" w:color="auto"/>
                            <w:bottom w:val="none" w:sz="0" w:space="0" w:color="auto"/>
                            <w:right w:val="none" w:sz="0" w:space="0" w:color="auto"/>
                          </w:divBdr>
                          <w:divsChild>
                            <w:div w:id="1809131948">
                              <w:marLeft w:val="0"/>
                              <w:marRight w:val="0"/>
                              <w:marTop w:val="0"/>
                              <w:marBottom w:val="0"/>
                              <w:divBdr>
                                <w:top w:val="none" w:sz="0" w:space="0" w:color="auto"/>
                                <w:left w:val="none" w:sz="0" w:space="0" w:color="auto"/>
                                <w:bottom w:val="none" w:sz="0" w:space="0" w:color="auto"/>
                                <w:right w:val="none" w:sz="0" w:space="0" w:color="auto"/>
                              </w:divBdr>
                              <w:divsChild>
                                <w:div w:id="1872842683">
                                  <w:marLeft w:val="0"/>
                                  <w:marRight w:val="0"/>
                                  <w:marTop w:val="0"/>
                                  <w:marBottom w:val="0"/>
                                  <w:divBdr>
                                    <w:top w:val="none" w:sz="0" w:space="0" w:color="auto"/>
                                    <w:left w:val="none" w:sz="0" w:space="0" w:color="auto"/>
                                    <w:bottom w:val="none" w:sz="0" w:space="0" w:color="auto"/>
                                    <w:right w:val="none" w:sz="0" w:space="0" w:color="auto"/>
                                  </w:divBdr>
                                  <w:divsChild>
                                    <w:div w:id="11685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6346">
                          <w:marLeft w:val="0"/>
                          <w:marRight w:val="0"/>
                          <w:marTop w:val="0"/>
                          <w:marBottom w:val="0"/>
                          <w:divBdr>
                            <w:top w:val="none" w:sz="0" w:space="0" w:color="auto"/>
                            <w:left w:val="none" w:sz="0" w:space="0" w:color="auto"/>
                            <w:bottom w:val="none" w:sz="0" w:space="0" w:color="auto"/>
                            <w:right w:val="none" w:sz="0" w:space="0" w:color="auto"/>
                          </w:divBdr>
                          <w:divsChild>
                            <w:div w:id="1276642344">
                              <w:marLeft w:val="0"/>
                              <w:marRight w:val="0"/>
                              <w:marTop w:val="0"/>
                              <w:marBottom w:val="0"/>
                              <w:divBdr>
                                <w:top w:val="none" w:sz="0" w:space="0" w:color="auto"/>
                                <w:left w:val="none" w:sz="0" w:space="0" w:color="auto"/>
                                <w:bottom w:val="none" w:sz="0" w:space="0" w:color="auto"/>
                                <w:right w:val="none" w:sz="0" w:space="0" w:color="auto"/>
                              </w:divBdr>
                              <w:divsChild>
                                <w:div w:id="6511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00715">
      <w:bodyDiv w:val="1"/>
      <w:marLeft w:val="0"/>
      <w:marRight w:val="0"/>
      <w:marTop w:val="0"/>
      <w:marBottom w:val="0"/>
      <w:divBdr>
        <w:top w:val="none" w:sz="0" w:space="0" w:color="auto"/>
        <w:left w:val="none" w:sz="0" w:space="0" w:color="auto"/>
        <w:bottom w:val="none" w:sz="0" w:space="0" w:color="auto"/>
        <w:right w:val="none" w:sz="0" w:space="0" w:color="auto"/>
      </w:divBdr>
    </w:div>
    <w:div w:id="1975868284">
      <w:bodyDiv w:val="1"/>
      <w:marLeft w:val="0"/>
      <w:marRight w:val="0"/>
      <w:marTop w:val="0"/>
      <w:marBottom w:val="0"/>
      <w:divBdr>
        <w:top w:val="none" w:sz="0" w:space="0" w:color="auto"/>
        <w:left w:val="none" w:sz="0" w:space="0" w:color="auto"/>
        <w:bottom w:val="none" w:sz="0" w:space="0" w:color="auto"/>
        <w:right w:val="none" w:sz="0" w:space="0" w:color="auto"/>
      </w:divBdr>
    </w:div>
    <w:div w:id="20292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datasets/matarrgaye/uk-gross-domestic-product-quarterly-1955-2023"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matplotlib.org/stable/index.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datasets/cbhavik/football-transfers-from-199293-to-202122-season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news.co.uk/sport/football/premier-league-clubs-defy-covid-19-downturn-running-summer-transfer-deficit-chelsea-liverpool-manchester-united-6697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datasets/scarfsman/uk-inflation-data-1989-20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eaborn.pydat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ec35b33-18d5-41d5-ad31-5144556a80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E8512E02FC3D419A5917648BBDA164" ma:contentTypeVersion="8" ma:contentTypeDescription="Create a new document." ma:contentTypeScope="" ma:versionID="bab66fc596f56cc649518a5761b2632d">
  <xsd:schema xmlns:xsd="http://www.w3.org/2001/XMLSchema" xmlns:xs="http://www.w3.org/2001/XMLSchema" xmlns:p="http://schemas.microsoft.com/office/2006/metadata/properties" xmlns:ns3="2ec35b33-18d5-41d5-ad31-5144556a8038" xmlns:ns4="eb161802-f07f-4b0e-9185-a1793bbe765b" targetNamespace="http://schemas.microsoft.com/office/2006/metadata/properties" ma:root="true" ma:fieldsID="2fb33522a0d64493b264e68344716b03" ns3:_="" ns4:_="">
    <xsd:import namespace="2ec35b33-18d5-41d5-ad31-5144556a8038"/>
    <xsd:import namespace="eb161802-f07f-4b0e-9185-a1793bbe765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b33-18d5-41d5-ad31-5144556a80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161802-f07f-4b0e-9185-a1793bbe76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{A3F1D7ED-5159-4274-A7F6-E71E1B240812}</b:Guid>
    <b:RefOrder>1</b:RefOrder>
  </b:Source>
</b:Sources>
</file>

<file path=customXml/itemProps1.xml><?xml version="1.0" encoding="utf-8"?>
<ds:datastoreItem xmlns:ds="http://schemas.openxmlformats.org/officeDocument/2006/customXml" ds:itemID="{DD5BCA1B-1B16-4326-8C44-4403C6F7E39B}">
  <ds:schemaRefs>
    <ds:schemaRef ds:uri="http://schemas.microsoft.com/sharepoint/v3/contenttype/forms"/>
  </ds:schemaRefs>
</ds:datastoreItem>
</file>

<file path=customXml/itemProps2.xml><?xml version="1.0" encoding="utf-8"?>
<ds:datastoreItem xmlns:ds="http://schemas.openxmlformats.org/officeDocument/2006/customXml" ds:itemID="{03FA941C-66A3-497E-9210-D9AEF6BB9A1F}">
  <ds:schemaRefs>
    <ds:schemaRef ds:uri="http://schemas.microsoft.com/office/2006/metadata/properties"/>
    <ds:schemaRef ds:uri="http://schemas.microsoft.com/office/infopath/2007/PartnerControls"/>
    <ds:schemaRef ds:uri="2ec35b33-18d5-41d5-ad31-5144556a8038"/>
  </ds:schemaRefs>
</ds:datastoreItem>
</file>

<file path=customXml/itemProps3.xml><?xml version="1.0" encoding="utf-8"?>
<ds:datastoreItem xmlns:ds="http://schemas.openxmlformats.org/officeDocument/2006/customXml" ds:itemID="{7E4FCC6A-7148-4B11-AB9A-C3F41B616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b33-18d5-41d5-ad31-5144556a8038"/>
    <ds:schemaRef ds:uri="eb161802-f07f-4b0e-9185-a1793bbe7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BE5C8-C9BC-4660-9CA0-DA3022CF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12873</TotalTime>
  <Pages>11</Pages>
  <Words>1779</Words>
  <Characters>10144</Characters>
  <Application>Microsoft Office Word</Application>
  <DocSecurity>0</DocSecurity>
  <Lines>84</Lines>
  <Paragraphs>23</Paragraphs>
  <ScaleCrop>false</ScaleCrop>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Economic Analysis of the UK Football Transfer Market Since 1992</dc:title>
  <dc:subject>Investigating the Impact of Inflation and Economic Growth on Transfer Spending</dc:subject>
  <dc:creator>(s) Dylan Lunt</dc:creator>
  <cp:keywords/>
  <dc:description/>
  <cp:lastModifiedBy>Dylan Lunt</cp:lastModifiedBy>
  <cp:revision>51</cp:revision>
  <dcterms:created xsi:type="dcterms:W3CDTF">2025-04-13T19:48:00Z</dcterms:created>
  <dcterms:modified xsi:type="dcterms:W3CDTF">2025-04-28T09:55:00Z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0x010100D1E8512E02FC3D419A5917648BBDA164</vt:lpwstr>
  </property>
</Properties>
</file>