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line="340"/>
        <w:jc w:val="center"/>
      </w:pPr>
      <w:r>
        <w:rPr>
          <w:b/>
          <w:bCs/>
          <w:color w:val="1F3864"/>
          <w:sz w:val="38"/>
          <w:szCs w:val="38"/>
        </w:rPr>
        <w:t xml:space="preserve">PROJECT WORKPLAN &amp; BUSINESS REQUIREMENTS DOCUMENT</w:t>
      </w:r>
    </w:p>
    <w:p>
      <w:pPr>
        <w:spacing w:after="100" w:before="200"/>
        <w:jc w:val="center"/>
      </w:pPr>
      <w:r>
        <w:rPr>
          <w:b/>
          <w:bCs/>
          <w:color w:val="2E5496"/>
          <w:sz w:val="32"/>
          <w:szCs w:val="32"/>
        </w:rPr>
        <w:t xml:space="preserve">Cryptographic Algorithm Migration: DES / 3DES → AES</w:t>
      </w:r>
    </w:p>
    <w:p>
      <w:pPr>
        <w:spacing w:after="800" w:before="100"/>
        <w:jc w:val="center"/>
      </w:pPr>
      <w:r>
        <w:rPr>
          <w:i/>
          <w:iCs/>
          <w:sz w:val="22"/>
          <w:szCs w:val="22"/>
        </w:rPr>
        <w:t xml:space="preserve">SDLC-Aligned Migration Template — Configurable for Any Legacy-to-Modern Cryptographic Transition</w:t>
      </w:r>
    </w:p>
    <w:p>
      <w:pPr>
        <w:spacing w:after="80"/>
        <w:jc w:val="center"/>
      </w:pPr>
      <w:r>
        <w:rPr>
          <w:b/>
          <w:bCs/>
        </w:rPr>
        <w:t xml:space="preserve">Prepared for: </w:t>
      </w:r>
      <w:r>
        <w:rPr>
          <w:i/>
          <w:iCs/>
          <w:color w:val="B22222"/>
        </w:rPr>
        <w:t xml:space="preserve">[Organization Name]</w:t>
      </w:r>
    </w:p>
    <w:p>
      <w:pPr>
        <w:spacing w:after="80"/>
        <w:jc w:val="center"/>
      </w:pPr>
      <w:r>
        <w:rPr>
          <w:b/>
          <w:bCs/>
        </w:rPr>
        <w:t xml:space="preserve">System(s) in Scope: </w:t>
      </w:r>
      <w:r>
        <w:rPr>
          <w:i/>
          <w:iCs/>
          <w:color w:val="B22222"/>
        </w:rPr>
        <w:t xml:space="preserve">[System / Application / Environment Name]</w:t>
      </w:r>
    </w:p>
    <w:p>
      <w:pPr>
        <w:spacing w:after="80"/>
        <w:jc w:val="center"/>
      </w:pPr>
      <w:r>
        <w:rPr>
          <w:b/>
          <w:bCs/>
        </w:rPr>
        <w:t xml:space="preserve">Document Owner: </w:t>
      </w:r>
      <w:r>
        <w:rPr>
          <w:i/>
          <w:iCs/>
          <w:color w:val="B22222"/>
        </w:rPr>
        <w:t xml:space="preserve">[Project Sponsor / Security Lead]</w:t>
      </w:r>
    </w:p>
    <w:p>
      <w:pPr>
        <w:spacing w:after="80"/>
        <w:jc w:val="center"/>
      </w:pPr>
      <w:r>
        <w:rPr>
          <w:b/>
          <w:bCs/>
        </w:rPr>
        <w:t xml:space="preserve">Version: </w:t>
      </w:r>
      <w:r>
        <w:rPr>
          <w:i/>
          <w:iCs/>
          <w:color w:val="B22222"/>
        </w:rPr>
        <w:t xml:space="preserve">[0.1 – Draft]</w:t>
      </w:r>
    </w:p>
    <w:p>
      <w:pPr>
        <w:spacing w:after="80"/>
        <w:jc w:val="center"/>
      </w:pPr>
      <w:r>
        <w:rPr>
          <w:b/>
          <w:bCs/>
        </w:rPr>
        <w:t xml:space="preserve">Date: </w:t>
      </w:r>
      <w:r>
        <w:rPr>
          <w:i/>
          <w:iCs/>
          <w:color w:val="B22222"/>
        </w:rPr>
        <w:t xml:space="preserve">[Insert Date]</w:t>
      </w:r>
    </w:p>
    <w:p>
      <w:pPr>
        <w:spacing w:before="1200"/>
        <w:jc w:val="center"/>
      </w:pPr>
      <w:r>
        <w:rPr>
          <w:b/>
          <w:bCs/>
        </w:rPr>
        <w:t xml:space="preserve">Classification: </w:t>
      </w:r>
      <w:r>
        <w:rPr>
          <w:i/>
          <w:iCs/>
          <w:color w:val="B22222"/>
        </w:rPr>
        <w:t xml:space="preserve">[Internal / Confidential]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Document Control</w:t>
      </w:r>
    </w:p>
    <w:p>
      <w:pPr>
        <w:pStyle w:val="Heading2"/>
        <w:spacing w:after="150" w:before="300"/>
      </w:pPr>
      <w:r>
        <w:t xml:space="preserve">1.1 Revision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25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draft from discovery discussion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approved for kickoff</w:t>
            </w:r>
          </w:p>
        </w:tc>
      </w:tr>
    </w:tbl>
    <w:p>
      <w:pPr>
        <w:pStyle w:val="Heading2"/>
        <w:spacing w:after="150" w:before="300"/>
      </w:pPr>
      <w:r>
        <w:t xml:space="preserve">1.2 Approvals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00"/>
        <w:gridCol w:w="18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CISO / Security Lead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/ Audit Lead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2"/>
        <w:spacing w:after="150" w:before="300"/>
      </w:pPr>
      <w:r>
        <w:t xml:space="preserve">1.3 Distribution List</w:t>
      </w:r>
    </w:p>
    <w:p>
      <w:pPr>
        <w:spacing w:after="160"/>
      </w:pPr>
      <w:r>
        <w:t xml:space="preserve">[Insert names/roles of individuals or groups who receive this document — e.g., IT Security, Infrastructure, Application Owners, Legal/Compliance, Internal Audit, Vendor Management.]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Executive Summary</w:t>
      </w:r>
    </w:p>
    <w:p>
      <w:pPr>
        <w:spacing w:after="160"/>
      </w:pPr>
      <w:r>
        <w:t xml:space="preserve">This document defines the business requirements and full Software/System Development Life Cycle (SDLC) workplan for migrating cryptographic implementations from the Data Encryption Standard (DES) and Triple DES (3DES/TDEA) to the Advanced Encryption Standard (AES). It is built as a reusable template: every bracketed field is a variable to be populated for the specific organization and system(s) undergoing migration, so the same document set can be reused across future legacy-to-modern cryptographic transitions (e.g., SHA-1 → SHA-2/3, RSA-2048 → post-quantum algorithms).</w:t>
      </w:r>
    </w:p>
    <w:p>
      <w:pPr>
        <w:spacing w:after="160"/>
      </w:pPr>
      <w:r>
        <w:t xml:space="preserve">The driver for this migration is both a security and a compliance imperative. NIST formally disallowed 3-key TDEA (3DES) for applying cryptographic protection to federal information after December 31, 2023 under NIST Special Publication (SP) 800-131A Revision 2, and a Revision 3 draft (released for comment in late 2024) signals a further industry-wide move toward a 128-bit minimum security strength by December 31, 2030. Organizations still relying on DES or 3DES anywhere in their environment carry both an active security exposure and a growing compliance/audit finding risk.</w:t>
      </w:r>
    </w:p>
    <w:p>
      <w:pPr>
        <w:spacing w:after="160"/>
      </w:pPr>
      <w:r>
        <w:t xml:space="preserve">This document is organized in two parts: (1) a Business Requirements Document (BRD) defining what must be true when the project is complete, and (2) a phase-by-phase SDLC Project Workplan defining how the organization gets there, including a Work Breakdown Structure, RACI matrix, risk register, and a key management sub-plan.</w:t>
      </w:r>
    </w:p>
    <w:p>
      <w:pPr>
        <w:pStyle w:val="Heading1"/>
        <w:spacing w:after="200" w:before="400"/>
      </w:pPr>
      <w:r>
        <w:t xml:space="preserve">3. Business Requirements Document (BRD)</w:t>
      </w:r>
    </w:p>
    <w:p>
      <w:pPr>
        <w:pStyle w:val="Heading2"/>
        <w:spacing w:after="150" w:before="300"/>
      </w:pPr>
      <w:r>
        <w:t xml:space="preserve">3.1 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Eliminate use of DES and 3DES/TDEA for encryption of data at rest and in transit across all in-scope systems, applications, and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AES (128-bit minimum; 256-bit for high-sensitivity data classes) as the organizational standard symmetric cipher, consistent with FIPS 197 and NIST SP 800-131A Rev.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continuous data availability and integrity throughout the transition, with no unplanned downtime to production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 and evidence compliance with applicable regulatory frameworks (e.g., PCI DSS, HIPAA, GLBA, FedRAMP/FISMA) by project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Modernize key management practices (generation, distribution, rotation, storage, destruction) in line with current NIST guidance.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 reusable migration playbook and set of artifacts that can be applied to future cryptographic transitions.</w:t>
      </w:r>
    </w:p>
    <w:p>
      <w:pPr>
        <w:pStyle w:val="Heading2"/>
        <w:spacing w:after="150" w:before="300"/>
      </w:pPr>
      <w:r>
        <w:t xml:space="preserve">3.2 Scope</w:t>
      </w:r>
    </w:p>
    <w:p>
      <w:pPr>
        <w:pStyle w:val="Heading3"/>
        <w:spacing w:after="100" w:before="20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applications, databases, middleware, and interfaces identified in the cryptographic inventory (Section 4.2) as using DES or 3DES.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Security Modules (HSMs), key management systems (KMS), and certificate/key stores supporting in-scope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VPN gateways, network appliances, and legacy protocol endpoints (e.g., older TLS cipher suites) using DES/3DES.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and vendor-managed systems where the organization has contractual leverage to require remediation.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[Insert organization-specific systems: e.g., mainframe batch encryption, payment switch, archival/backup encryption]</w:t>
      </w:r>
    </w:p>
    <w:p>
      <w:pPr>
        <w:pStyle w:val="Heading3"/>
        <w:spacing w:after="100" w:before="200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Asymmetric algorithm migration (e.g., RSA, ECC) and post-quantum cryptography readiness — tracked as a separate initiative unless explicitly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Hashing algorithm migration (e.g., SHA-1 deprecation) — tracked as a separate initiative unless explicitly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[Insert any systems explicitly excluded, with rationale — e.g., systems already scheduled for decommission.]</w:t>
      </w:r>
    </w:p>
    <w:p>
      <w:pPr>
        <w:pStyle w:val="Heading2"/>
        <w:spacing w:after="150" w:before="300"/>
      </w:pPr>
      <w:r>
        <w:t xml:space="preserve">3.3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/ Role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Funds and champions the project; accepts residual risk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CISO / InfoSec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cryptographic standards, approves target-state architecture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Enterprise/Solution Architect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technical approach and system compatibility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Owners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 in-scope systems; approve change windows and testing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/ Network Team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Executes changes to HSMs, VPNs, network devices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Administrators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data re-encryption / transparent data encryption changes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/ Internal Audit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regulatory alignment and evidences controls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/ Vendor Management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third-party contractual remediation requirements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Management Office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Tracks schedule, budget, risk, and reporting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Users / Help Desk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Informed of any user-facing impact (e.g., re-authentication)</w:t>
            </w:r>
          </w:p>
        </w:tc>
      </w:tr>
    </w:tbl>
    <w:p>
      <w:pPr>
        <w:pStyle w:val="Heading2"/>
        <w:spacing w:after="150" w:before="300"/>
      </w:pPr>
      <w:r>
        <w:t xml:space="preserve">3.4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650"/>
        <w:gridCol w:w="16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AES encryption (minimum AES-128, target AES-256) for all newly encrypted data.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a mechanism to re-encrypt or migrate existing DES/3DES-protected data to AES without data loss.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 dual-algorithm transition mode (decrypt legacy, encrypt new) where instant cutover is not feasible.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management system shall generate, distribute, rotate, and destroy AES keys per organizational key management policy.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log all cryptographic configuration changes for audit purposes.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rollback capability to a known-good state during the transition window.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 additional organization/system-specific functional requirement.]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[Priority]</w:t>
            </w:r>
          </w:p>
        </w:tc>
      </w:tr>
    </w:tbl>
    <w:p>
      <w:pPr>
        <w:pStyle w:val="Heading2"/>
        <w:spacing w:after="150" w:before="300"/>
      </w:pPr>
      <w:r>
        <w:t xml:space="preserve">3.5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45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 implementation shall not increase transaction latency beyond [X]% of current baseline; leverage AES-NI/hardware acceleration where available.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4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activities shall not cause unplanned downtime; planned maintenance windows require [X] days' advance notice.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sizes, modes of operation, and padding schemes shall conform to NIST SP 800-38 series guidance (e.g., avoid ECB mode).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4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migration activity shall be traceable to a change ticket, approver, and rollback plan.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shall accommodate future onboarding of additional systems without re-architecture.</w:t>
            </w:r>
          </w:p>
        </w:tc>
      </w:tr>
    </w:tbl>
    <w:p>
      <w:pPr>
        <w:pStyle w:val="Heading2"/>
        <w:spacing w:after="150" w:before="300"/>
      </w:pPr>
      <w:r>
        <w:t xml:space="preserve">3.6 Regulatory &amp; Compliance Requirements</w:t>
      </w:r>
    </w:p>
    <w:p>
      <w:pPr>
        <w:spacing w:after="160"/>
      </w:pPr>
      <w:r>
        <w:t xml:space="preserve">The following table maps the migration to the primary external standards and regulatory frameworks. See Appendix A for full references. Confirm with Compliance/Legal which frameworks are mandatory for the specific organization and data types in scope.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Relevance to This Migration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SP 800-131A Rev. 2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Authoritative transition guidance; disallows 3-key TDEA encryption after Dec 31, 2023 for federal/regulated use; defines deprecated vs. disallowed algorithm states.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FIPS 197 (AES)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Defines the AES algorithm specification (128/192/256-bit keys) that is the migration target.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FIPS 140-3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Governs validated cryptographic modules; any HSM/KMS handling regulated data should use a FIPS 140-3 validated module.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PCI DSS v4.0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Prohibits use of DES/3DES for protecting cardholder data; requires documented cryptographic key management and periodic review of crypto-suites.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HIPAA Security Rule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'addressable' encryption safeguards for ePHI; weak/deprecated ciphers are an increasingly indefensible position in a risk analysis.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Cybersecurity Framework (CSF) 2.0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Provides the PROTECT (Data Security) function context for embedding this migration into broader risk management.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ISO/IEC 27001 / 27002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Annex A cryptographic controls (A.8.24 in 2022 revision) expect a documented cryptography policy and key lifecycle management.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[Sector-specific: SOX, GLBA, FedRAMP, state privacy law]</w:t>
            </w:r>
          </w:p>
        </w:tc>
        <w:tc>
          <w:tcPr>
            <w:tcW w:type="dxa" w:w="6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 if applicable to the organization.]</w:t>
            </w:r>
          </w:p>
        </w:tc>
      </w:tr>
    </w:tbl>
    <w:p>
      <w:pPr>
        <w:pStyle w:val="Heading2"/>
        <w:spacing w:after="150" w:before="300"/>
      </w:pPr>
      <w:r>
        <w:t xml:space="preserve">3.7 Assumptions, Constraints &amp; Dependencies</w:t>
      </w:r>
    </w:p>
    <w:p>
      <w:pPr>
        <w:pStyle w:val="Heading3"/>
        <w:spacing w:after="100" w:before="200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 inventory of cryptographic assets does not yet exist and will be produced during Phase 2 (Discovery).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and staffing for a potential hardware refresh (for devices lacking AES support) will be approved as a contingency, not assumed up front.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units will make systems and staff available for the testing windows defined in the schedule.</w:t>
      </w:r>
    </w:p>
    <w:p>
      <w:pPr>
        <w:pStyle w:val="Heading3"/>
        <w:spacing w:after="100" w:before="200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[Insert fixed compliance deadline, e.g., next PCI assessment date, audit cycle, or contractual date.]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[Insert budget ceiling, freeze windows (e.g., no changes during peak retail season), or resourcing constraints.]</w:t>
      </w:r>
    </w:p>
    <w:p>
      <w:pPr>
        <w:pStyle w:val="Heading3"/>
        <w:spacing w:after="100" w:before="200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of a FIPS 140-3 validated HSM/KMS platform supporting AES key sizes.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cooperation for any third-party or SaaS systems requiring remediation.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Completion of the cryptographic inventory before detailed design work can begin.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SDLC Project Workplan</w:t>
      </w:r>
    </w:p>
    <w:p>
      <w:pPr>
        <w:spacing w:after="160"/>
      </w:pPr>
      <w:r>
        <w:t xml:space="preserve">The workplan follows a standard seven-phase SDLC, adapted for a cryptographic migration. Each phase lists its objective, key activities, deliverables, and entry/exit criteria so the phase gate can be formally reviewed and signed off before proceeding — consistent with a change-controlled, auditable migration.</w:t>
      </w:r>
    </w:p>
    <w:p>
      <w:pPr>
        <w:pStyle w:val="Heading2"/>
        <w:spacing w:after="150" w:before="300"/>
      </w:pPr>
      <w:r>
        <w:t xml:space="preserve">4.1 Phase 1 — Initiation</w:t>
      </w:r>
    </w:p>
    <w:p>
      <w:pPr>
        <w:spacing w:after="160"/>
      </w:pPr>
      <w:r>
        <w:t xml:space="preserve">Objective: Formally charter the migration project, secure sponsorship, and establish governance.</w:t>
      </w:r>
    </w:p>
    <w:p>
      <w:pPr>
        <w:pStyle w:val="Heading3"/>
        <w:spacing w:after="100" w:before="200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and approve project charter, including business case referencing SP 800-131A Rev. 2 timelines.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executive sponsor, project manager, and core project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high-level scope, budget envelope, and target completion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project governance structure and steering committee cadence.</w:t>
      </w:r>
    </w:p>
    <w:p>
      <w:pPr>
        <w:pStyle w:val="Heading3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Project Charter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RACI matrix (draft) — see Section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stakeholder register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need documented; executive sponsor identified.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Charter signed; project team resourced; kickoff scheduled.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Primary Roles Engaged: Executive Sponsor, PMO, CISO</w:t>
      </w:r>
    </w:p>
    <w:p>
      <w:pPr>
        <w:pStyle w:val="Heading2"/>
        <w:spacing w:after="150" w:before="300"/>
      </w:pPr>
      <w:r>
        <w:t xml:space="preserve">4.2 Phase 2 — Planning &amp; Discovery (Cryptographic Inventory)</w:t>
      </w:r>
    </w:p>
    <w:p>
      <w:pPr>
        <w:spacing w:after="160"/>
      </w:pPr>
      <w:r>
        <w:t xml:space="preserve">Objective: Identify every system, application, protocol, and device using DES/3DES, and assess compatibility with AES.</w:t>
      </w:r>
    </w:p>
    <w:p>
      <w:pPr>
        <w:pStyle w:val="Heading3"/>
        <w:spacing w:after="100" w:before="200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full cryptographic asset inventory across applications, databases, HSMs, embedded/IoT devices, VPNs, and third-party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Classify each finding by data sensitivity, business criticality, and regulatory applicability.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 AES compatibility: software-only update vs. firmware update vs. hardware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HSM/KMS support for AES key sizes and required modes of operation.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the detailed Work Breakdown Structure, resource plan, and schedule (Section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initial Risk Register (Section 7).</w:t>
      </w:r>
    </w:p>
    <w:p>
      <w:pPr>
        <w:pStyle w:val="Heading3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Cryptographic Inventory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Compatibility &amp; Gap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Detailed Work Breakdown Structure and schedule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Risk Register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Charter approved; project team resourced.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validated by system/application owners; gap assessment reviewed by architecture and security.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Primary Roles Engaged: Security Architecture, Application Owners, Infrastructure</w:t>
      </w:r>
    </w:p>
    <w:p>
      <w:pPr>
        <w:pStyle w:val="Heading2"/>
        <w:spacing w:after="150" w:before="300"/>
      </w:pPr>
      <w:r>
        <w:t xml:space="preserve">4.3 Phase 3 — Analysis &amp; Design</w:t>
      </w:r>
    </w:p>
    <w:p>
      <w:pPr>
        <w:spacing w:after="160"/>
      </w:pPr>
      <w:r>
        <w:t xml:space="preserve">Objective: Translate the BRD and inventory findings into a target-state cryptographic architecture and migration approach per system.</w:t>
      </w:r>
    </w:p>
    <w:p>
      <w:pPr>
        <w:pStyle w:val="Heading3"/>
        <w:spacing w:after="100" w:before="200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target AES key lengths and approved modes of operation (e.g., GCM, CBC with proper padding) per NIST SP 800-38 series.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Key Management Plan: generation, distribution, storage, rotation, and destruction (see Section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dual-support / transition approach for systems that cannot cut over instantly (legacy decrypt, new encrypt).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data re-encryption approach for data at rest (batch re-encryption vs. re-encrypt-on-access).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per-system migration runbooks, including rollback procedures.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design review and threat model with Security Architecture.</w:t>
      </w:r>
    </w:p>
    <w:p>
      <w:pPr>
        <w:pStyle w:val="Heading3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Target-State Cryptographic Architecture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Management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Per-system Migration Runbooks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Review sign-off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and gap assessment complete and approved.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and runbooks approved by CISO/Security Architecture; rollback plans defined for every in-scope system.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Primary Roles Engaged: Security Architecture, Enterprise Architecture, DBAs, Network Engineering</w:t>
      </w:r>
    </w:p>
    <w:p>
      <w:pPr>
        <w:pStyle w:val="Heading2"/>
        <w:spacing w:after="150" w:before="300"/>
      </w:pPr>
      <w:r>
        <w:t xml:space="preserve">4.4 Phase 4 — Development / Implementation</w:t>
      </w:r>
    </w:p>
    <w:p>
      <w:pPr>
        <w:spacing w:after="160"/>
      </w:pPr>
      <w:r>
        <w:t xml:space="preserve">Objective: Implement AES support in code, configuration, and infrastructure per the approved design, in non-production environments first.</w:t>
      </w:r>
    </w:p>
    <w:p>
      <w:pPr>
        <w:pStyle w:val="Heading3"/>
        <w:spacing w:after="100" w:before="200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application code/libraries to use AES (favor vetted cryptographic libraries; avoid custom cryptographic implementations).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firmware/software updates or provision replacement hardware for devices lacking native AES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HSM/KMS to generate and manage AES keys per the Key Management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dual-algorithm transition logic where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CI/CD pipelines, configuration management, and infrastructure-as-code artifacts to enforce AES as the standard.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review and static/security code review of all cryptography-related changes.</w:t>
      </w:r>
    </w:p>
    <w:p>
      <w:pPr>
        <w:pStyle w:val="Heading3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application/system builds in a lower (dev/test)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infrastructure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Code/security review records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and Key Management Plan approved.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deployed successfully to test environment; code review complete with no open critical findings.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Primary Roles Engaged: Development, Infrastructure, Security Engineering</w:t>
      </w:r>
    </w:p>
    <w:p>
      <w:pPr>
        <w:pStyle w:val="Heading2"/>
        <w:spacing w:after="150" w:before="300"/>
      </w:pPr>
      <w:r>
        <w:t xml:space="preserve">4.5 Phase 5 — Testing &amp; Validation</w:t>
      </w:r>
    </w:p>
    <w:p>
      <w:pPr>
        <w:spacing w:after="160"/>
      </w:pPr>
      <w:r>
        <w:t xml:space="preserve">Objective: Validate that AES implementation is functionally correct, secure, and does not degrade performance, before production rollout.</w:t>
      </w:r>
    </w:p>
    <w:p>
      <w:pPr>
        <w:pStyle w:val="Heading3"/>
        <w:spacing w:after="100" w:before="200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testing: encryption/decryption correctness, data integrity checks, error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Interoperability testing across all systems that exchange encrypted data with the migrated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Transition-state testing: confirm dual-algorithm mode correctly decrypts legacy data while encrypting new data as AES.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Performance/load testing against the NFR-01 latency threshold, with and without hardware AES acceleration.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testing: verify no fallback to DES/3DES is possible; validate key handling and absence of hard-coded 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and disaster-recovery testing under the new encryption scheme.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Acceptance Testing (UAT) sign-off from application owners.</w:t>
      </w:r>
    </w:p>
    <w:p>
      <w:pPr>
        <w:pStyle w:val="Heading3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and Test Case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Test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Test / Validation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UAT Sign-off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available in test environment; test plan approved.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test cases pass or have documented/accepted exceptions; UAT sign-off obtained; no critical/high security findings open.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Primary Roles Engaged: QA, Security Testing, Application Owners, Performance Engineering</w:t>
      </w:r>
    </w:p>
    <w:p>
      <w:pPr>
        <w:pStyle w:val="Heading2"/>
        <w:spacing w:after="150" w:before="300"/>
      </w:pPr>
      <w:r>
        <w:t xml:space="preserve">4.6 Phase 6 — Deployment / Phased Rollout</w:t>
      </w:r>
    </w:p>
    <w:p>
      <w:pPr>
        <w:spacing w:after="160"/>
      </w:pPr>
      <w:r>
        <w:t xml:space="preserve">Objective: Deploy the validated AES implementation to production using a risk-based, phased approach rather than a single big-bang cutover.</w:t>
      </w:r>
    </w:p>
    <w:p>
      <w:pPr>
        <w:pStyle w:val="Heading3"/>
        <w:spacing w:after="100" w:before="200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rollout waves from lowest to highest business criticality, per the phased rollout strategy.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 approved change management process for each wave, including scheduled maintenance windows.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each wave post-deployment for functional or performance regressions before proceeding to the next wave.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 data re-encryption for at-rest data per the design (batch or on-access), tracking completion percentage.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rollback readiness for each wave per the runbooks.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Communicate changes to affected internal teams and, where relevant, external partners/customers.</w:t>
      </w:r>
    </w:p>
    <w:p>
      <w:pPr>
        <w:pStyle w:val="Heading3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deployment records per wave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re-encryption completion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Post-deployment monitoring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Risk Register reflecting closed migration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phase exit criteria met; change approvals obtained.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planned waves deployed; no unresolved Sev-1/Sev-2 incidents attributable to the migration; legacy algorithm usage confirmed disabled per wave.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Primary Roles Engaged: Change Management, Infrastructure, Application Owners, Help Desk</w:t>
      </w:r>
    </w:p>
    <w:p>
      <w:pPr>
        <w:pStyle w:val="Heading2"/>
        <w:spacing w:after="150" w:before="300"/>
      </w:pPr>
      <w:r>
        <w:t xml:space="preserve">4.7 Phase 7 — Post-Implementation, Maintenance &amp; Closeout</w:t>
      </w:r>
    </w:p>
    <w:p>
      <w:pPr>
        <w:spacing w:after="160"/>
      </w:pPr>
      <w:r>
        <w:t xml:space="preserve">Objective: Confirm legacy algorithms are fully retired, formalize the new steady-state, and close the project with lessons learned.</w:t>
      </w:r>
    </w:p>
    <w:p>
      <w:pPr>
        <w:pStyle w:val="Heading3"/>
        <w:spacing w:after="100" w:before="200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a final cryptographic scan to confirm no DES/3DES usage remains anywhere in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Decommission or securely destroy legacy keys per the Key Management Plan's destruction procedures.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security policy, standards, and architecture documentation to reflect AES as the enforced standard.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Compile compliance evidence package for auditors (PCI DSS, HIPAA, etc. as applicable).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project retrospective / lessons-learned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 ongoing key rotation and monitoring to standard operations (BAU) teams.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this document set as the reusable template for the next cryptographic migration.</w:t>
      </w:r>
    </w:p>
    <w:p>
      <w:pPr>
        <w:pStyle w:val="Heading3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Validation / Attestation Report (legacy algorithm retirement confirmed)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Evidence 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Lessons Learned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organizational cryptography standard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Migration Template (this document, genericized)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rollout waves complete; monitoring shows stable steady state.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formally accepts project closure; legacy algorithms confirmed disabled/removed; documentation archived.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Primary Roles Engaged: PMO, CISO, Compliance/Audit, Operations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Work Breakdown Structure (WBS) — Template</w:t>
      </w:r>
    </w:p>
    <w:p>
      <w:pPr>
        <w:spacing w:after="160"/>
      </w:pPr>
      <w:r>
        <w:t xml:space="preserve">Populate durations, owners, and dates for the specific engagement. Dependencies reference the Task ID column.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300"/>
        <w:gridCol w:w="1900"/>
        <w:gridCol w:w="1150"/>
        <w:gridCol w:w="14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Charter approval &amp; kickoff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Cryptographic asset inventory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Discovery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Architecture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Compatibility &amp; gap assessment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Detailed schedule &amp; risk register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Discovery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architecture &amp; key mgmt plan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Architecture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Per-system migration runbooks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Owners / Architecture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Application/library updates (dev)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HSM/KMS AES configuration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&amp; interoperability testing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4.1, 4.2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&amp; security testing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Owners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 1 production rollout (low criticality)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Mgmt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 2–N production rollout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Mgmt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At-rest data re-encryption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DBAs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scan &amp; legacy key destruction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Closeout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Architecture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evidence package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Closeout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1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Retrospective &amp; template archive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Closeout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 wks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RACI Matrix — Template</w:t>
      </w:r>
    </w:p>
    <w:p>
      <w:pPr>
        <w:spacing w:after="160"/>
      </w:pPr>
      <w:r>
        <w:t xml:space="preserve">R = Responsible, A = Accountable, C = Consulted, I = Informed.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250"/>
        <w:gridCol w:w="1050"/>
        <w:gridCol w:w="950"/>
        <w:gridCol w:w="1250"/>
        <w:gridCol w:w="1250"/>
        <w:gridCol w:w="1050"/>
      </w:tblGrid>
      <w:tr>
        <w:trPr>
          <w:tblHeader/>
        </w:trPr>
        <w:tc>
          <w:tcPr>
            <w:tcW w:type="dxa" w:w="25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 Spon.</w:t>
            </w:r>
          </w:p>
        </w:tc>
        <w:tc>
          <w:tcPr>
            <w:tcW w:type="dxa" w:w="10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CISO</w:t>
            </w:r>
          </w:p>
        </w:tc>
        <w:tc>
          <w:tcPr>
            <w:tcW w:type="dxa" w:w="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 Owner</w:t>
            </w:r>
          </w:p>
        </w:tc>
        <w:tc>
          <w:tcPr>
            <w:tcW w:type="dxa" w:w="1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Infra/DBA</w:t>
            </w:r>
          </w:p>
        </w:tc>
        <w:tc>
          <w:tcPr>
            <w:tcW w:type="dxa" w:w="10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Compl.</w:t>
            </w:r>
          </w:p>
        </w:tc>
      </w:tr>
      <w:tr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Charter approval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Cryptographic inventory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&amp; key mgmt design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/ configuration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UAT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deployment approval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key destruction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evidence &amp; sign-off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Risk Register —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50"/>
        <w:gridCol w:w="950"/>
        <w:gridCol w:w="850"/>
        <w:gridCol w:w="2650"/>
        <w:gridCol w:w="155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5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Undiscovered system still using DES/3DES post-migration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Multi-pass discovery incl. network traffic analysis; re-scan before closeout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Architecture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hardware cannot support AES, requiring unplanned capital spend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compatibility assessment (Phase 2); contingency budget line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regression on high-throughput systems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Pre-production load testing; leverage AES-NI hardware acceleration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Engineering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loss/corruption during re-encryption of data at rest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before re-encryption; staged batch approach with checksums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Third-party/vendor system cannot be remediated on timeline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vendor engagement; contractual remediation clauses; compensating controls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Management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management gaps (weak generation, poor rotation)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review of Key Management Plan against NIST SP 800-57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deadline missed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buffer; phased rollout prioritizing regulated data first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Key Management Plan — Template</w:t>
      </w:r>
    </w:p>
    <w:p>
      <w:pPr>
        <w:spacing w:after="160"/>
      </w:pPr>
      <w:r>
        <w:t xml:space="preserve">This sub-plan should be developed in detail during Phase 3 (Design) and aligned to NIST SP 800-57 (Recommendation for Key Management).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Lifecycle Stage</w:t>
            </w:r>
          </w:p>
        </w:tc>
        <w:tc>
          <w:tcPr>
            <w:tcW w:type="dxa" w:w="6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Generation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Keys generated using an approved random bit generator; AES-128 minimum, AES-256 for high-sensitivity data, via a FIPS 140-3 validated module or HSM.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Keys distributed via secure key-exchange mechanisms; no keys transmitted in plaintext or embedded in source code/config files.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Keys stored in an HSM or KMS with access restricted by role; no keys stored alongside the data they protect.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Rotation</w:t>
            </w:r>
          </w:p>
        </w:tc>
        <w:tc>
          <w:tcPr>
            <w:tcW w:type="dxa" w:w="6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Defined rotation schedule (e.g., annually or per data-sensitivity policy); automated rotation preferred over manual.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Key Handling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3DES/DES keys retained only as long as needed to decrypt legacy data during the transition window, under restricted access.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Destruction</w:t>
            </w:r>
          </w:p>
        </w:tc>
        <w:tc>
          <w:tcPr>
            <w:tcW w:type="dxa" w:w="6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Cryptographic erasure or physical destruction of retired keys, logged and attested for audit purposes.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&amp; Monitoring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key access and lifecycle events logged to a centralized, tamper-evident log; reviewed periodically by Security.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A. Appendix A — Industry Standards &amp; Reference Framework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485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 / Framework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48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FIPS 197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Encryption Standard specification (128/192/256-bit keys) — migration target.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 800-131A Rev. 2 (and draft Rev. 3)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guidance for cryptographic algorithms and key lengths; source of the 3DES disallowance after Dec 31, 2023, and the pending 128-bit minimum by 2030.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 800-38 Series (A–F)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 modes of operation for block ciphers (e.g., GCM, CBC, CTR); use to select the correct AES mode and avoid weak modes like ECB.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 800-57 (Parts 1–3)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management recommendations — basis for Section 8's Key Management Plan.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FIPS 140-3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requirements for cryptographic modules; validated HSMs/KMS should hold current FIPS 140-3 validation.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PCI DSS v4.0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PCI Security Standards Council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card data protection requirements; explicitly disallows DES/3DES for cardholder data.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HIPAA Security Rule (45 CFR §164.312)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HHS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Addressable encryption safeguard for electronic protected health information.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Cybersecurity Framework (CSF) 2.0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Overarching risk-management context; maps this project to the PROTECT (Data Security) function.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ISO/IEC 27001:2022, Annex A.8.24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ISO/IEC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a documented cryptography policy and key management controls.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PMBOK Guide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PMI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Underlying project management framework for the phase structure, WBS, and RACI used in this document.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Note: Standards and their revisions change over time (e.g., SP 800-131A Rev. 3 was in public draft as of late 2024). Before executing a migration from this template, confirm the current published version of each standard and the organization's applicable compliance deadlines.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B. Appendix B — 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Encryption Standard — symmetric block cipher standardized in FIPS 197.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3DES / TDEA</w:t>
            </w:r>
          </w:p>
        </w:tc>
        <w:tc>
          <w:tcPr>
            <w:tcW w:type="dxa" w:w="6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Triple Data Encryption Algorithm — legacy symmetric cipher applying DES three times; now disallowed for new encryption use.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HSM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Security Module — dedicated hardware for secure key generation, storage, and cryptographic operations.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KMS</w:t>
            </w:r>
          </w:p>
        </w:tc>
        <w:tc>
          <w:tcPr>
            <w:tcW w:type="dxa" w:w="6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Management System — software/service managing the cryptographic key lifecycle.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 of Operation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algorithm defining how a block cipher processes data longer than one block (e.g., CBC, GCM, ECB).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Deprecated (NIST usage)</w:t>
            </w:r>
          </w:p>
        </w:tc>
        <w:tc>
          <w:tcPr>
            <w:tcW w:type="dxa" w:w="6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be used but requires acceptance of a documented, specific risk.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Disallowed (NIST usage)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algorithm/key length is no longer considered suitable for the stated use.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Use</w:t>
            </w:r>
          </w:p>
        </w:tc>
        <w:tc>
          <w:tcPr>
            <w:tcW w:type="dxa" w:w="69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Permitted only to process/decrypt previously protected information, not to newly protect data.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C. Appendix C — How to Reuse This Template</w:t>
      </w:r>
    </w:p>
    <w:p>
      <w:pPr>
        <w:spacing w:after="160"/>
      </w:pPr>
      <w:r>
        <w:t xml:space="preserve">This document is designed to be genericized and reapplied to future migrations. To adapt 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all bracketed placeholders (organization name, system names, dates, owners) with engagement-specific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Re-validate Appendix A against the currently published version of each referenced standard — NIST transition guidance in particular is revised periodically.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 the Functional/Non-Functional Requirements (Sections 3.4–3.5) to the specific algorithm pair being migrated (e.g., SHA-1 → SHA-2/3, RSA → post-quantum).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 the seven-phase SDLC structure, WBS, RACI, and Risk Register shells — these are algorithm-agnostic and reusable as-is.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the completed, populated document as a case study to accelerate the next migration cycle.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0"/>
      </w:tabs>
    </w:pPr>
    <w:r>
      <w:rPr>
        <w:color w:val="808080"/>
        <w:sz w:val="16"/>
        <w:szCs w:val="16"/>
      </w:rPr>
      <w:t xml:space="preserve">AES Migration Project Workplan</w:t>
    </w:r>
    <w:ptab w:alignment="right" w:relativeTo="margin" w:leader="none"/>
    <w:r>
      <w:rPr>
        <w:i/>
        <w:iCs/>
        <w:color w:val="808080"/>
        <w:sz w:val="16"/>
        <w:szCs w:val="16"/>
      </w:rPr>
      <w:t xml:space="preserve">  [Organization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2026-09-20T11:31:18.125Z</dcterms:created>
  <dcterms:modified xsi:type="dcterms:W3CDTF">2026-09-20T11:31:18.125Z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