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Vereenvoudigde</w:t>
      </w:r>
      <w:r>
        <w:t xml:space="preserve"> </w:t>
      </w:r>
      <w:r>
        <w:t xml:space="preserve">versie</w:t>
      </w:r>
      <w:r>
        <w:t xml:space="preserve"> </w:t>
      </w:r>
      <w:r>
        <w:t xml:space="preserve">van</w:t>
      </w:r>
      <w:r>
        <w:t xml:space="preserve"> </w:t>
      </w:r>
      <w:r>
        <w:t xml:space="preserve">wetenschappelijk</w:t>
      </w:r>
      <w:r>
        <w:t xml:space="preserve"> </w:t>
      </w:r>
      <w:r>
        <w:t xml:space="preserve">artikel</w:t>
      </w:r>
    </w:p>
    <w:p>
      <w:pPr>
        <w:pStyle w:val="Date"/>
      </w:pPr>
      <w:r>
        <w:t xml:space="preserve">2023-05-26</w:t>
      </w:r>
    </w:p>
    <w:bookmarkStart w:id="20" w:name="inleiding"/>
    <w:p>
      <w:pPr>
        <w:pStyle w:val="Heading2"/>
      </w:pPr>
      <w:r>
        <w:t xml:space="preserve">Inleiding</w:t>
      </w:r>
    </w:p>
    <w:p>
      <w:pPr>
        <w:numPr>
          <w:ilvl w:val="0"/>
          <w:numId w:val="1001"/>
        </w:numPr>
      </w:pPr>
      <w:r>
        <w:t xml:space="preserve">Fragmentatie en privatisering van politiewerk</w:t>
      </w:r>
    </w:p>
    <w:p>
      <w:pPr>
        <w:numPr>
          <w:ilvl w:val="0"/>
          <w:numId w:val="1001"/>
        </w:numPr>
      </w:pPr>
      <w:r>
        <w:t xml:space="preserve">Democratisering surveillance</w:t>
      </w:r>
    </w:p>
    <w:p>
      <w:pPr>
        <w:numPr>
          <w:ilvl w:val="0"/>
          <w:numId w:val="1001"/>
        </w:numPr>
      </w:pPr>
      <w:r>
        <w:t xml:space="preserve">Toename collectieve schade en sociale gevolgen</w:t>
      </w:r>
    </w:p>
    <w:p>
      <w:pPr>
        <w:numPr>
          <w:ilvl w:val="0"/>
          <w:numId w:val="1001"/>
        </w:numPr>
      </w:pPr>
      <w:r>
        <w:t xml:space="preserve">Deze ontwikkelingen zijn overlappend en verstrengeld</w:t>
      </w:r>
    </w:p>
    <w:p>
      <w:pPr>
        <w:numPr>
          <w:ilvl w:val="0"/>
          <w:numId w:val="1001"/>
        </w:numPr>
      </w:pPr>
      <w:r>
        <w:t xml:space="preserve">Niet als losstaande gezien</w:t>
      </w:r>
    </w:p>
    <w:p>
      <w:pPr>
        <w:numPr>
          <w:ilvl w:val="0"/>
          <w:numId w:val="1001"/>
        </w:numPr>
      </w:pPr>
      <w:r>
        <w:t xml:space="preserve">Fragmentatie en privatisering niet nieuw</w:t>
      </w:r>
    </w:p>
    <w:p>
      <w:pPr>
        <w:numPr>
          <w:ilvl w:val="0"/>
          <w:numId w:val="1001"/>
        </w:numPr>
      </w:pPr>
      <w:r>
        <w:t xml:space="preserve">Sinds einde 20ste eeuw stijging samenwerking met private sector</w:t>
      </w:r>
    </w:p>
    <w:p>
      <w:pPr>
        <w:numPr>
          <w:ilvl w:val="0"/>
          <w:numId w:val="1001"/>
        </w:numPr>
      </w:pPr>
      <w:r>
        <w:t xml:space="preserve">Spelen steeds grotere rol politiewerk</w:t>
      </w:r>
    </w:p>
    <w:p>
      <w:pPr>
        <w:numPr>
          <w:ilvl w:val="0"/>
          <w:numId w:val="1001"/>
        </w:numPr>
      </w:pPr>
      <w:r>
        <w:t xml:space="preserve">Toegenomen macht en groei private sector</w:t>
      </w:r>
    </w:p>
    <w:p>
      <w:pPr>
        <w:numPr>
          <w:ilvl w:val="0"/>
          <w:numId w:val="1001"/>
        </w:numPr>
      </w:pPr>
      <w:r>
        <w:t xml:space="preserve">Bezuinigingen publieke sector.</w:t>
      </w:r>
    </w:p>
    <w:bookmarkEnd w:id="20"/>
    <w:bookmarkStart w:id="21" w:name="hoofdstuk-1"/>
    <w:p>
      <w:pPr>
        <w:pStyle w:val="Heading2"/>
      </w:pPr>
      <w:r>
        <w:t xml:space="preserve">Hoofdstuk 1</w:t>
      </w:r>
    </w:p>
    <w:p>
      <w:pPr>
        <w:numPr>
          <w:ilvl w:val="0"/>
          <w:numId w:val="1002"/>
        </w:numPr>
      </w:pPr>
      <w:r>
        <w:t xml:space="preserve">Dit kan leiden tot cumulatief nadeel (discriminatie en oneerlijke behandeling) voor bepaalde groepen in de maatschappij</w:t>
      </w:r>
    </w:p>
    <w:p>
      <w:pPr>
        <w:numPr>
          <w:ilvl w:val="0"/>
          <w:numId w:val="1002"/>
        </w:numPr>
      </w:pPr>
      <w:r>
        <w:t xml:space="preserve">Dit komt duidelijk tot uiting bij predictive policing</w:t>
      </w:r>
    </w:p>
    <w:p>
      <w:pPr>
        <w:numPr>
          <w:ilvl w:val="0"/>
          <w:numId w:val="1002"/>
        </w:numPr>
      </w:pPr>
      <w:r>
        <w:t xml:space="preserve">Als gevolg van feedback loops, die ontstaan door steekproefbias, wordt politie herhaaldelijk teruggestuurd naar dezelfde wijken ongeacht het werkelijke misdaadcijfer</w:t>
      </w:r>
    </w:p>
    <w:p>
      <w:pPr>
        <w:numPr>
          <w:ilvl w:val="0"/>
          <w:numId w:val="1002"/>
        </w:numPr>
      </w:pPr>
      <w:r>
        <w:t xml:space="preserve">Dit leidt tot overpolicing en stigmatisering van bepaalde al geviseerde wijken gemeenschappen</w:t>
      </w:r>
    </w:p>
    <w:p>
      <w:pPr>
        <w:numPr>
          <w:ilvl w:val="0"/>
          <w:numId w:val="1002"/>
        </w:numPr>
      </w:pPr>
      <w:r>
        <w:t xml:space="preserve">Deze risico’s op discriminatie door het gebruik van big data-analyses worden ook bevestigd in de uitspraak over SyRI</w:t>
      </w:r>
    </w:p>
    <w:p>
      <w:pPr>
        <w:numPr>
          <w:ilvl w:val="0"/>
          <w:numId w:val="1002"/>
        </w:numPr>
      </w:pPr>
      <w:r>
        <w:t xml:space="preserve">Een algoritmisch systeem om sociale fraude te sporen</w:t>
      </w:r>
    </w:p>
    <w:p>
      <w:pPr>
        <w:numPr>
          <w:ilvl w:val="0"/>
          <w:numId w:val="1002"/>
        </w:numPr>
      </w:pPr>
      <w:r>
        <w:t xml:space="preserve">De uitspraak toont ook aan hoe big data-technologie kan leiden tot discriminatie.</w:t>
      </w:r>
    </w:p>
    <w:bookmarkEnd w:id="21"/>
    <w:bookmarkStart w:id="22" w:name="stand-van-zaken"/>
    <w:p>
      <w:pPr>
        <w:pStyle w:val="Heading2"/>
      </w:pPr>
      <w:r>
        <w:t xml:space="preserve">Stand-van-zaken</w:t>
      </w:r>
    </w:p>
    <w:p>
      <w:pPr>
        <w:numPr>
          <w:ilvl w:val="0"/>
          <w:numId w:val="1003"/>
        </w:numPr>
      </w:pPr>
      <w:r>
        <w:t xml:space="preserve">Er</w:t>
      </w:r>
      <w:r>
        <w:t xml:space="preserve"> </w:t>
      </w:r>
      <w:r>
        <w:t xml:space="preserve">zijn</w:t>
      </w:r>
      <w:r>
        <w:t xml:space="preserve"> </w:t>
      </w:r>
      <w:r>
        <w:t xml:space="preserve">standaardprofielen</w:t>
      </w:r>
      <w:r>
        <w:t xml:space="preserve"> </w:t>
      </w:r>
      <w:r>
        <w:t xml:space="preserve">voor</w:t>
      </w:r>
      <w:r>
        <w:t xml:space="preserve"> </w:t>
      </w:r>
      <w:r>
        <w:t xml:space="preserve">functionarissen</w:t>
      </w:r>
      <w:r>
        <w:t xml:space="preserve"> </w:t>
      </w:r>
      <w:r>
        <w:t xml:space="preserve">gegevensbescherming</w:t>
      </w:r>
    </w:p>
    <w:p>
      <w:pPr>
        <w:numPr>
          <w:ilvl w:val="0"/>
          <w:numId w:val="1003"/>
        </w:numPr>
      </w:pPr>
      <w:r>
        <w:t xml:space="preserve">EU</w:t>
      </w:r>
      <w:r>
        <w:t xml:space="preserve"> </w:t>
      </w:r>
      <w:r>
        <w:t xml:space="preserve">publiceerde</w:t>
      </w:r>
      <w:r>
        <w:t xml:space="preserve"> </w:t>
      </w:r>
      <w:r>
        <w:t xml:space="preserve">voorstel</w:t>
      </w:r>
      <w:r>
        <w:t xml:space="preserve"> </w:t>
      </w:r>
      <w:r>
        <w:t xml:space="preserve">AI-wet</w:t>
      </w:r>
      <w:r>
        <w:t xml:space="preserve"> </w:t>
      </w:r>
      <w:r>
        <w:t xml:space="preserve">met</w:t>
      </w:r>
      <w:r>
        <w:t xml:space="preserve"> </w:t>
      </w:r>
      <w:r>
        <w:t xml:space="preserve">tweevoudig</w:t>
      </w:r>
      <w:r>
        <w:t xml:space="preserve"> </w:t>
      </w:r>
      <w:r>
        <w:t xml:space="preserve">doel:</w:t>
      </w:r>
      <w:r>
        <w:t xml:space="preserve"> </w:t>
      </w:r>
      <w:r>
        <w:t xml:space="preserve">bescherming</w:t>
      </w:r>
      <w:r>
        <w:t xml:space="preserve"> </w:t>
      </w:r>
      <w:r>
        <w:t xml:space="preserve">grondrechten</w:t>
      </w:r>
      <w:r>
        <w:t xml:space="preserve"> </w:t>
      </w:r>
      <w:r>
        <w:t xml:space="preserve">individu</w:t>
      </w:r>
      <w:r>
        <w:t xml:space="preserve"> </w:t>
      </w:r>
      <w:r>
        <w:t xml:space="preserve">tegen</w:t>
      </w:r>
      <w:r>
        <w:t xml:space="preserve"> </w:t>
      </w:r>
      <w:r>
        <w:t xml:space="preserve">nadelige</w:t>
      </w:r>
      <w:r>
        <w:t xml:space="preserve"> </w:t>
      </w:r>
      <w:r>
        <w:t xml:space="preserve">gevolgen</w:t>
      </w:r>
      <w:r>
        <w:t xml:space="preserve"> </w:t>
      </w:r>
      <w:r>
        <w:t xml:space="preserve">AI</w:t>
      </w:r>
      <w:r>
        <w:t xml:space="preserve"> </w:t>
      </w:r>
      <w:r>
        <w:t xml:space="preserve">en</w:t>
      </w:r>
      <w:r>
        <w:t xml:space="preserve"> </w:t>
      </w:r>
      <w:r>
        <w:t xml:space="preserve">harmonisatie</w:t>
      </w:r>
      <w:r>
        <w:t xml:space="preserve"> </w:t>
      </w:r>
      <w:r>
        <w:t xml:space="preserve">regelgeving</w:t>
      </w:r>
      <w:r>
        <w:t xml:space="preserve"> </w:t>
      </w:r>
      <w:r>
        <w:t xml:space="preserve">lidstaten</w:t>
      </w:r>
    </w:p>
    <w:p>
      <w:pPr>
        <w:numPr>
          <w:ilvl w:val="0"/>
          <w:numId w:val="1003"/>
        </w:numPr>
      </w:pPr>
      <w:r>
        <w:t xml:space="preserve">Risico’s</w:t>
      </w:r>
      <w:r>
        <w:t xml:space="preserve"> </w:t>
      </w:r>
      <w:r>
        <w:t xml:space="preserve">voor</w:t>
      </w:r>
      <w:r>
        <w:t xml:space="preserve"> </w:t>
      </w:r>
      <w:r>
        <w:t xml:space="preserve">het</w:t>
      </w:r>
      <w:r>
        <w:t xml:space="preserve"> </w:t>
      </w:r>
      <w:r>
        <w:t xml:space="preserve">individu</w:t>
      </w:r>
      <w:r>
        <w:t xml:space="preserve"> </w:t>
      </w:r>
      <w:r>
        <w:t xml:space="preserve">en</w:t>
      </w:r>
      <w:r>
        <w:t xml:space="preserve"> </w:t>
      </w:r>
      <w:r>
        <w:t xml:space="preserve">samenleving</w:t>
      </w:r>
      <w:r>
        <w:t xml:space="preserve"> </w:t>
      </w:r>
      <w:r>
        <w:t xml:space="preserve">worden</w:t>
      </w:r>
      <w:r>
        <w:t xml:space="preserve"> </w:t>
      </w:r>
      <w:r>
        <w:t xml:space="preserve">opgesplitst</w:t>
      </w:r>
      <w:r>
        <w:t xml:space="preserve"> </w:t>
      </w:r>
      <w:r>
        <w:t xml:space="preserve">in</w:t>
      </w:r>
      <w:r>
        <w:t xml:space="preserve"> </w:t>
      </w:r>
      <w:r>
        <w:t xml:space="preserve">categorieën</w:t>
      </w:r>
      <w:r>
        <w:t xml:space="preserve"> </w:t>
      </w:r>
      <w:r>
        <w:t xml:space="preserve">laag</w:t>
      </w:r>
      <w:r>
        <w:t xml:space="preserve"> </w:t>
      </w:r>
      <w:r>
        <w:t xml:space="preserve">tot</w:t>
      </w:r>
      <w:r>
        <w:t xml:space="preserve"> </w:t>
      </w:r>
      <w:r>
        <w:t xml:space="preserve">hoog.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Vereenvoudigde versie van wetenschappelijk artikel</dc:title>
  <dc:creator/>
  <cp:keywords/>
  <dcterms:created xsi:type="dcterms:W3CDTF">2023-05-26T10:53:42Z</dcterms:created>
  <dcterms:modified xsi:type="dcterms:W3CDTF">2023-05-26T10:53:42Z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  <property fmtid="{D5CDD505-2E9C-101B-9397-08002B2CF9AE}" pid="3" name="date">
    <vt:lpwstr>2023-05-26</vt:lpwstr>
  </property>
  <property fmtid="{D5CDD505-2E9C-101B-9397-08002B2CF9AE}" pid="4" name="document">
    <vt:lpwstr>article</vt:lpwstr>
  </property>
  <property fmtid="{D5CDD505-2E9C-101B-9397-08002B2CF9AE}" pid="5" name="fontsize">
    <vt:lpwstr>14pt</vt:lpwstr>
  </property>
  <property fmtid="{D5CDD505-2E9C-101B-9397-08002B2CF9AE}" pid="6" name="geometry">
    <vt:lpwstr>margin=3cm</vt:lpwstr>
  </property>
  <property fmtid="{D5CDD505-2E9C-101B-9397-08002B2CF9AE}" pid="7" name="header-includes">
    <vt:lpwstr/>
  </property>
  <property fmtid="{D5CDD505-2E9C-101B-9397-08002B2CF9AE}" pid="8" name="mainfont">
    <vt:lpwstr>Arial.ttf</vt:lpwstr>
  </property>
  <property fmtid="{D5CDD505-2E9C-101B-9397-08002B2CF9AE}" pid="9" name="titlefont">
    <vt:lpwstr>Arial.ttf</vt:lpwstr>
  </property>
</Properties>
</file>