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FFD1" w14:textId="77777777" w:rsidR="00C147E7" w:rsidRPr="00C147E7" w:rsidRDefault="00000000" w:rsidP="00C147E7">
      <w:r>
        <w:pict w14:anchorId="76C73F40">
          <v:rect id="_x0000_i1025" style="width:0;height:1.5pt" o:hralign="center" o:hrstd="t" o:hr="t" fillcolor="#a0a0a0" stroked="f"/>
        </w:pict>
      </w:r>
    </w:p>
    <w:p w14:paraId="78FFBA02" w14:textId="77777777" w:rsidR="00C147E7" w:rsidRPr="00C147E7" w:rsidRDefault="00C147E7" w:rsidP="00C147E7">
      <w:r w:rsidRPr="00C147E7">
        <w:t>Memorandum</w:t>
      </w:r>
    </w:p>
    <w:p w14:paraId="058FCAB4" w14:textId="77777777" w:rsidR="00C147E7" w:rsidRPr="00C147E7" w:rsidRDefault="00000000" w:rsidP="00C147E7">
      <w:r>
        <w:pict w14:anchorId="54D28278">
          <v:rect id="_x0000_i1026" style="width:0;height:1.5pt" o:hralign="center" o:hrstd="t" o:hr="t" fillcolor="#a0a0a0" stroked="f"/>
        </w:pict>
      </w:r>
    </w:p>
    <w:p w14:paraId="7860051F" w14:textId="77777777" w:rsidR="00C147E7" w:rsidRPr="00C147E7" w:rsidRDefault="00C147E7" w:rsidP="00C147E7">
      <w:r w:rsidRPr="00C147E7">
        <w:t>To: Derek Wu, Neil Cholli</w:t>
      </w:r>
      <w:r w:rsidRPr="00C147E7">
        <w:br/>
        <w:t>From: Dylan Craig</w:t>
      </w:r>
      <w:r w:rsidRPr="00C147E7">
        <w:br/>
        <w:t>Date Created: 12/27/2024</w:t>
      </w:r>
      <w:r w:rsidRPr="00C147E7">
        <w:br/>
        <w:t>Subject: Data Management Memo on ZIP-County Relationships and ZCTA Integration (VDSS)</w:t>
      </w:r>
    </w:p>
    <w:p w14:paraId="16B17D23" w14:textId="77777777" w:rsidR="00C147E7" w:rsidRPr="00C147E7" w:rsidRDefault="00000000" w:rsidP="00C147E7">
      <w:r>
        <w:pict w14:anchorId="2AE41820">
          <v:rect id="_x0000_i1027" style="width:0;height:1.5pt" o:hralign="center" o:hrstd="t" o:hr="t" fillcolor="#a0a0a0" stroked="f"/>
        </w:pict>
      </w:r>
    </w:p>
    <w:p w14:paraId="321A5965" w14:textId="77777777" w:rsidR="00C147E7" w:rsidRPr="00C147E7" w:rsidRDefault="00C147E7" w:rsidP="00C147E7">
      <w:r w:rsidRPr="00C147E7">
        <w:rPr>
          <w:b/>
          <w:bCs/>
        </w:rPr>
        <w:t>Purpose:</w:t>
      </w:r>
      <w:r w:rsidRPr="00C147E7">
        <w:t xml:space="preserve"> This memo explains the data cleaning and management process for analyzing ZIP-county relationships, integrating ZCTA crosswalks, classifying ZIPs, and merging additional treatment and quality metrics.</w:t>
      </w:r>
    </w:p>
    <w:p w14:paraId="37E43B94" w14:textId="63503B22" w:rsidR="00C147E7" w:rsidRPr="00C147E7" w:rsidRDefault="00C147E7" w:rsidP="00C147E7">
      <w:r w:rsidRPr="00C147E7">
        <w:rPr>
          <w:b/>
          <w:bCs/>
        </w:rPr>
        <w:t>Overview:</w:t>
      </w:r>
      <w:r w:rsidRPr="00C147E7">
        <w:t xml:space="preserve"> The final dataset consolidates ZIP-County relationships, ZCTAs, residential classifications, and treatment data. The unit of analysis is a unique combination of ZIP, county, month-year, and the LDSS ZIP code</w:t>
      </w:r>
      <w:r>
        <w:t>.</w:t>
      </w:r>
    </w:p>
    <w:p w14:paraId="49CE65F8" w14:textId="77777777" w:rsidR="00C147E7" w:rsidRPr="00C147E7" w:rsidRDefault="00000000" w:rsidP="00C147E7">
      <w:r>
        <w:pict w14:anchorId="0B7E57FF">
          <v:rect id="_x0000_i1028" style="width:0;height:1.5pt" o:hralign="center" o:hrstd="t" o:hr="t" fillcolor="#a0a0a0" stroked="f"/>
        </w:pict>
      </w:r>
    </w:p>
    <w:p w14:paraId="0E2AC6B2" w14:textId="77777777" w:rsidR="00C147E7" w:rsidRPr="00C147E7" w:rsidRDefault="00C147E7" w:rsidP="00C147E7">
      <w:r w:rsidRPr="00C147E7">
        <w:rPr>
          <w:b/>
          <w:bCs/>
        </w:rPr>
        <w:t>Step 1: Processing ZIP-County Data (Monthly 2000–2024)</w:t>
      </w:r>
    </w:p>
    <w:p w14:paraId="1A1547D9" w14:textId="0C988FB3" w:rsidR="00C147E7" w:rsidRPr="00C147E7" w:rsidRDefault="00C147E7" w:rsidP="00C147E7">
      <w:r w:rsidRPr="00C147E7">
        <w:t xml:space="preserve">Monthly datasets spanning 2000–2024 were processed to create a consistent format. </w:t>
      </w:r>
      <w:r w:rsidR="00E445B5">
        <w:t xml:space="preserve">Year-Quarter </w:t>
      </w:r>
      <w:r w:rsidR="007270D3">
        <w:t>d</w:t>
      </w:r>
      <w:r w:rsidRPr="00C147E7">
        <w:t>ates were extracted from file names and standardized as MM/01/YYYY. Only Virginia counties (FIPS codes starting with "51") were retained. Column names were standardized to uppercase, and extraneous columns were dropped.</w:t>
      </w:r>
      <w:r w:rsidR="00E445B5">
        <w:t xml:space="preserve"> Any zip code that appeared at least once in the dataset was added to each </w:t>
      </w:r>
      <w:r w:rsidR="00EA1183">
        <w:t>Year-Quarter to ensure completeness of the dataset for each Year-Quarter, with corrections made in Step 2.</w:t>
      </w:r>
    </w:p>
    <w:p w14:paraId="3D72179D" w14:textId="77777777" w:rsidR="00C147E7" w:rsidRPr="00C147E7" w:rsidRDefault="00000000" w:rsidP="00C147E7">
      <w:r>
        <w:pict w14:anchorId="09029959">
          <v:rect id="_x0000_i1029" style="width:0;height:1.5pt" o:hralign="center" o:hrstd="t" o:hr="t" fillcolor="#a0a0a0" stroked="f"/>
        </w:pict>
      </w:r>
    </w:p>
    <w:p w14:paraId="5D00BC53" w14:textId="77777777" w:rsidR="00C147E7" w:rsidRPr="00C147E7" w:rsidRDefault="00C147E7" w:rsidP="00C147E7">
      <w:r w:rsidRPr="00C147E7">
        <w:rPr>
          <w:b/>
          <w:bCs/>
        </w:rPr>
        <w:t>Step 2: Removing Deleted ZIPs</w:t>
      </w:r>
    </w:p>
    <w:p w14:paraId="314872A2" w14:textId="636956F0" w:rsidR="000C3947" w:rsidRPr="00C147E7" w:rsidRDefault="00C147E7" w:rsidP="00C147E7">
      <w:r w:rsidRPr="00C147E7">
        <w:t xml:space="preserve">The Bailey Helmuth dataset identified ZIPs slated for deletion. These were matched with the ZIP-County data, and ZIPs with deletion dates earlier than their observed use </w:t>
      </w:r>
      <w:r w:rsidR="00657E11">
        <w:t xml:space="preserve">in the dataset </w:t>
      </w:r>
      <w:r w:rsidRPr="00C147E7">
        <w:t>were excluded to ensure historical accuracy.</w:t>
      </w:r>
      <w:r w:rsidR="00657E11">
        <w:t xml:space="preserve"> This ended up only including 2 zip codes.</w:t>
      </w:r>
    </w:p>
    <w:p w14:paraId="07E2EB19" w14:textId="77777777" w:rsidR="00C147E7" w:rsidRPr="00C147E7" w:rsidRDefault="00000000" w:rsidP="00C147E7">
      <w:r>
        <w:pict w14:anchorId="43C1984A">
          <v:rect id="_x0000_i1030" style="width:0;height:1.5pt" o:hralign="center" o:hrstd="t" o:hr="t" fillcolor="#a0a0a0" stroked="f"/>
        </w:pict>
      </w:r>
    </w:p>
    <w:p w14:paraId="2761C832" w14:textId="77777777" w:rsidR="00C147E7" w:rsidRPr="00C147E7" w:rsidRDefault="00C147E7" w:rsidP="00C147E7">
      <w:r w:rsidRPr="00C147E7">
        <w:rPr>
          <w:b/>
          <w:bCs/>
        </w:rPr>
        <w:t>Step 3: Classifying ZIPs as Residential or Non-Residential</w:t>
      </w:r>
    </w:p>
    <w:p w14:paraId="6D49EB29" w14:textId="77777777" w:rsidR="00C147E7" w:rsidRPr="00C147E7" w:rsidRDefault="00C147E7" w:rsidP="00C147E7">
      <w:r w:rsidRPr="00C147E7">
        <w:t>Using the VDSS ZIP type dataset, ZIPs were classified based on their residential ratio:</w:t>
      </w:r>
    </w:p>
    <w:p w14:paraId="47CF8003" w14:textId="77777777" w:rsidR="00C147E7" w:rsidRPr="00C147E7" w:rsidRDefault="00C147E7" w:rsidP="00C147E7">
      <w:pPr>
        <w:numPr>
          <w:ilvl w:val="0"/>
          <w:numId w:val="6"/>
        </w:numPr>
      </w:pPr>
      <w:r w:rsidRPr="00C147E7">
        <w:t>“RESIDENTIAL”: Residential ratio &gt; 0.</w:t>
      </w:r>
    </w:p>
    <w:p w14:paraId="7E6EDBE9" w14:textId="77777777" w:rsidR="00C147E7" w:rsidRPr="00C147E7" w:rsidRDefault="00C147E7" w:rsidP="00C147E7">
      <w:pPr>
        <w:numPr>
          <w:ilvl w:val="0"/>
          <w:numId w:val="6"/>
        </w:numPr>
      </w:pPr>
      <w:r w:rsidRPr="00C147E7">
        <w:t>“NON_RESIDENTIAL”: Residential ratio = 0.</w:t>
      </w:r>
    </w:p>
    <w:p w14:paraId="1AB3E407" w14:textId="77777777" w:rsidR="00C147E7" w:rsidRPr="00C147E7" w:rsidRDefault="00000000" w:rsidP="00C147E7">
      <w:r>
        <w:pict w14:anchorId="74FC281F">
          <v:rect id="_x0000_i1040" style="width:0;height:1.5pt" o:hralign="center" o:bullet="t" o:hrstd="t" o:hr="t" fillcolor="#a0a0a0" stroked="f"/>
        </w:pict>
      </w:r>
    </w:p>
    <w:p w14:paraId="5489FE6F" w14:textId="77777777" w:rsidR="003A601C" w:rsidRDefault="003A601C" w:rsidP="00C147E7">
      <w:pPr>
        <w:rPr>
          <w:b/>
          <w:bCs/>
        </w:rPr>
      </w:pPr>
    </w:p>
    <w:p w14:paraId="13A3EF8C" w14:textId="02C6695E" w:rsidR="003A601C" w:rsidRPr="00C147E7" w:rsidRDefault="003A601C" w:rsidP="003A601C">
      <w:r w:rsidRPr="00C147E7">
        <w:rPr>
          <w:b/>
          <w:bCs/>
        </w:rPr>
        <w:lastRenderedPageBreak/>
        <w:t xml:space="preserve">Step </w:t>
      </w:r>
      <w:r>
        <w:rPr>
          <w:b/>
          <w:bCs/>
        </w:rPr>
        <w:t>4</w:t>
      </w:r>
      <w:r w:rsidRPr="00C147E7">
        <w:rPr>
          <w:b/>
          <w:bCs/>
        </w:rPr>
        <w:t xml:space="preserve">: Classifying ZIPs as </w:t>
      </w:r>
      <w:r>
        <w:rPr>
          <w:b/>
          <w:bCs/>
        </w:rPr>
        <w:t>Standard, Unique, or PO Box</w:t>
      </w:r>
    </w:p>
    <w:p w14:paraId="13299498" w14:textId="526A1FC0" w:rsidR="003A601C" w:rsidRPr="00C147E7" w:rsidRDefault="003A601C" w:rsidP="003A601C">
      <w:r w:rsidRPr="00C147E7">
        <w:t xml:space="preserve">Using the </w:t>
      </w:r>
      <w:r>
        <w:t>zipdatamaps.com dataset, zip codes were classified as the following</w:t>
      </w:r>
      <w:r w:rsidRPr="00C147E7">
        <w:t>:</w:t>
      </w:r>
    </w:p>
    <w:p w14:paraId="3D3650AE" w14:textId="2A479A8A" w:rsidR="003A601C" w:rsidRDefault="00AB585E" w:rsidP="003A601C">
      <w:pPr>
        <w:numPr>
          <w:ilvl w:val="0"/>
          <w:numId w:val="6"/>
        </w:numPr>
      </w:pPr>
      <w:r>
        <w:t>Standard</w:t>
      </w:r>
      <w:r w:rsidR="00CC1DFB">
        <w:t>: Typical address that can be delivered to by USPS</w:t>
      </w:r>
    </w:p>
    <w:p w14:paraId="7217A84D" w14:textId="60F921D6" w:rsidR="00AB585E" w:rsidRDefault="00AB585E" w:rsidP="003A601C">
      <w:pPr>
        <w:numPr>
          <w:ilvl w:val="0"/>
          <w:numId w:val="6"/>
        </w:numPr>
      </w:pPr>
      <w:r>
        <w:t>Unique</w:t>
      </w:r>
      <w:r w:rsidR="00CC1DFB">
        <w:t xml:space="preserve">: </w:t>
      </w:r>
      <w:r w:rsidR="0099423F">
        <w:t>High volume atypical address (e.g., a university, government building, business)</w:t>
      </w:r>
    </w:p>
    <w:p w14:paraId="750A10C7" w14:textId="5A44F441" w:rsidR="00AB585E" w:rsidRPr="00C147E7" w:rsidRDefault="00AB585E" w:rsidP="003A601C">
      <w:pPr>
        <w:numPr>
          <w:ilvl w:val="0"/>
          <w:numId w:val="6"/>
        </w:numPr>
      </w:pPr>
      <w:r>
        <w:t>PO Box</w:t>
      </w:r>
      <w:r w:rsidR="0099423F">
        <w:t xml:space="preserve">: </w:t>
      </w:r>
      <w:r w:rsidR="00225F89">
        <w:t xml:space="preserve">Areas served only by a PO Box </w:t>
      </w:r>
      <w:r w:rsidR="005F088D">
        <w:t>(typically more rural; street delivery not possible)</w:t>
      </w:r>
    </w:p>
    <w:p w14:paraId="1890F11D" w14:textId="0D797158" w:rsidR="003A601C" w:rsidRPr="003A601C" w:rsidRDefault="003A601C" w:rsidP="00C147E7">
      <w:r>
        <w:pict w14:anchorId="0B7E9EEF">
          <v:rect id="_x0000_i1045" style="width:0;height:1.5pt" o:hralign="center" o:bullet="t" o:hrstd="t" o:hr="t" fillcolor="#a0a0a0" stroked="f"/>
        </w:pict>
      </w:r>
    </w:p>
    <w:p w14:paraId="023F949F" w14:textId="7C7B501E" w:rsidR="00C147E7" w:rsidRPr="00C147E7" w:rsidRDefault="00C147E7" w:rsidP="00C147E7">
      <w:r w:rsidRPr="00C147E7">
        <w:rPr>
          <w:b/>
          <w:bCs/>
        </w:rPr>
        <w:t xml:space="preserve">Step </w:t>
      </w:r>
      <w:r w:rsidR="003A601C">
        <w:rPr>
          <w:b/>
          <w:bCs/>
        </w:rPr>
        <w:t>5</w:t>
      </w:r>
      <w:r w:rsidRPr="00C147E7">
        <w:rPr>
          <w:b/>
          <w:bCs/>
        </w:rPr>
        <w:t>: Adding ZCTA Crosswalk Data</w:t>
      </w:r>
    </w:p>
    <w:p w14:paraId="5C355474" w14:textId="7673644F" w:rsidR="00C147E7" w:rsidRPr="00C147E7" w:rsidRDefault="00C147E7" w:rsidP="00C147E7">
      <w:r w:rsidRPr="00C147E7">
        <w:t>The HRSA ZCTA crosswalk was used to map ZIPs to ZCTAs. Only ZIP and ZCTA columns were retained</w:t>
      </w:r>
      <w:r w:rsidR="00802782">
        <w:t xml:space="preserve"> from the HRSA ZCTA dataset</w:t>
      </w:r>
      <w:r w:rsidRPr="00C147E7">
        <w:t>.</w:t>
      </w:r>
    </w:p>
    <w:p w14:paraId="04F5C4EE" w14:textId="77777777" w:rsidR="00C147E7" w:rsidRPr="00C147E7" w:rsidRDefault="00000000" w:rsidP="00C147E7">
      <w:r>
        <w:pict w14:anchorId="089C13EB">
          <v:rect id="_x0000_i1032" style="width:0;height:1.5pt" o:hralign="center" o:hrstd="t" o:hr="t" fillcolor="#a0a0a0" stroked="f"/>
        </w:pict>
      </w:r>
    </w:p>
    <w:p w14:paraId="6390A052" w14:textId="016C7B82" w:rsidR="00C147E7" w:rsidRPr="00C147E7" w:rsidRDefault="00C147E7" w:rsidP="00C147E7">
      <w:r w:rsidRPr="00C147E7">
        <w:rPr>
          <w:b/>
          <w:bCs/>
        </w:rPr>
        <w:t xml:space="preserve">Step </w:t>
      </w:r>
      <w:r w:rsidR="003A601C">
        <w:rPr>
          <w:b/>
          <w:bCs/>
        </w:rPr>
        <w:t>6</w:t>
      </w:r>
      <w:r w:rsidRPr="00C147E7">
        <w:rPr>
          <w:b/>
          <w:bCs/>
        </w:rPr>
        <w:t>: Integrating Treatment and Quality Data</w:t>
      </w:r>
    </w:p>
    <w:p w14:paraId="3E635D07" w14:textId="77777777" w:rsidR="00C147E7" w:rsidRPr="00C147E7" w:rsidRDefault="00C147E7" w:rsidP="00C147E7">
      <w:r w:rsidRPr="00C147E7">
        <w:t>Two additional datasets were integrated:</w:t>
      </w:r>
    </w:p>
    <w:p w14:paraId="04F4BD53" w14:textId="06346D6E" w:rsidR="00C147E7" w:rsidRPr="00C147E7" w:rsidRDefault="00C147E7" w:rsidP="00C147E7">
      <w:pPr>
        <w:numPr>
          <w:ilvl w:val="0"/>
          <w:numId w:val="7"/>
        </w:numPr>
      </w:pPr>
      <w:r w:rsidRPr="00C147E7">
        <w:rPr>
          <w:b/>
          <w:bCs/>
        </w:rPr>
        <w:t>Treatment Flags</w:t>
      </w:r>
      <w:r w:rsidR="00802C8E">
        <w:rPr>
          <w:b/>
          <w:bCs/>
        </w:rPr>
        <w:t xml:space="preserve"> (provided by Neil Cholli)</w:t>
      </w:r>
      <w:r w:rsidRPr="00C147E7">
        <w:rPr>
          <w:b/>
          <w:bCs/>
        </w:rPr>
        <w:t>:</w:t>
      </w:r>
      <w:r w:rsidRPr="00C147E7">
        <w:t xml:space="preserve"> ZIP-to-LDSS office associations (e.g., above/below median distances).</w:t>
      </w:r>
    </w:p>
    <w:p w14:paraId="3C0FBC38" w14:textId="7A211F58" w:rsidR="00C147E7" w:rsidRPr="00C147E7" w:rsidRDefault="00C147E7" w:rsidP="00C147E7">
      <w:pPr>
        <w:numPr>
          <w:ilvl w:val="0"/>
          <w:numId w:val="7"/>
        </w:numPr>
      </w:pPr>
      <w:r w:rsidRPr="00C147E7">
        <w:rPr>
          <w:b/>
          <w:bCs/>
        </w:rPr>
        <w:t>Bad ZIP-County Rates</w:t>
      </w:r>
      <w:r w:rsidR="00802C8E">
        <w:rPr>
          <w:b/>
          <w:bCs/>
        </w:rPr>
        <w:t xml:space="preserve"> (provided by Neil Cholli)</w:t>
      </w:r>
      <w:r w:rsidRPr="00C147E7">
        <w:rPr>
          <w:b/>
          <w:bCs/>
        </w:rPr>
        <w:t>:</w:t>
      </w:r>
      <w:r w:rsidRPr="00C147E7">
        <w:t xml:space="preserve"> Quality metrics for ZIP-County associations.</w:t>
      </w:r>
    </w:p>
    <w:p w14:paraId="42B48A7C" w14:textId="77777777" w:rsidR="00C147E7" w:rsidRPr="00C147E7" w:rsidRDefault="00C147E7" w:rsidP="00C147E7">
      <w:r w:rsidRPr="00C147E7">
        <w:t>These datasets were cleaned, and data types were standardized to ensure seamless joins by ZIP codes.</w:t>
      </w:r>
    </w:p>
    <w:p w14:paraId="1935658C" w14:textId="1CBBE376" w:rsidR="00C147E7" w:rsidRPr="00C147E7" w:rsidRDefault="00000000" w:rsidP="00C147E7">
      <w:r>
        <w:pict w14:anchorId="4108CD55">
          <v:rect id="_x0000_i1034" style="width:0;height:1.5pt" o:hralign="center" o:hrstd="t" o:hr="t" fillcolor="#a0a0a0" stroked="f"/>
        </w:pict>
      </w:r>
    </w:p>
    <w:p w14:paraId="30857225" w14:textId="35CABE06" w:rsidR="00C147E7" w:rsidRPr="00C147E7" w:rsidRDefault="00C147E7" w:rsidP="00C147E7">
      <w:r w:rsidRPr="00C147E7">
        <w:rPr>
          <w:b/>
          <w:bCs/>
        </w:rPr>
        <w:t xml:space="preserve">Step </w:t>
      </w:r>
      <w:r w:rsidR="003A601C">
        <w:rPr>
          <w:b/>
          <w:bCs/>
        </w:rPr>
        <w:t>7</w:t>
      </w:r>
      <w:r w:rsidRPr="00C147E7">
        <w:rPr>
          <w:b/>
          <w:bCs/>
        </w:rPr>
        <w:t>: Preparing the Final Dataset</w:t>
      </w:r>
    </w:p>
    <w:p w14:paraId="0A78B775" w14:textId="77777777" w:rsidR="00C147E7" w:rsidRPr="00C147E7" w:rsidRDefault="00C147E7" w:rsidP="00C147E7">
      <w:r w:rsidRPr="00C147E7">
        <w:t>The dataset was filtered to retain unique combinations of key variables:</w:t>
      </w:r>
    </w:p>
    <w:p w14:paraId="5422B7F4" w14:textId="77777777" w:rsidR="00C147E7" w:rsidRPr="00C147E7" w:rsidRDefault="00C147E7" w:rsidP="00C147E7">
      <w:pPr>
        <w:numPr>
          <w:ilvl w:val="0"/>
          <w:numId w:val="8"/>
        </w:numPr>
      </w:pPr>
      <w:r w:rsidRPr="00C147E7">
        <w:t>ZIP, county, month-year, ZCTA, residential classification, LDSS ZIP code, and treatment metrics.</w:t>
      </w:r>
    </w:p>
    <w:p w14:paraId="52F7EB2C" w14:textId="77777777" w:rsidR="00C147E7" w:rsidRPr="00C147E7" w:rsidRDefault="00C147E7" w:rsidP="00C147E7">
      <w:r w:rsidRPr="00C147E7">
        <w:t>Summary tables were created to track:</w:t>
      </w:r>
    </w:p>
    <w:p w14:paraId="0C05E788" w14:textId="77777777" w:rsidR="00C147E7" w:rsidRPr="00C147E7" w:rsidRDefault="00C147E7" w:rsidP="00C147E7">
      <w:pPr>
        <w:numPr>
          <w:ilvl w:val="0"/>
          <w:numId w:val="9"/>
        </w:numPr>
      </w:pPr>
      <w:r w:rsidRPr="00C147E7">
        <w:t>Total unique ZIPs and ZIP-County pairs.</w:t>
      </w:r>
    </w:p>
    <w:p w14:paraId="598FF923" w14:textId="77777777" w:rsidR="00C147E7" w:rsidRPr="00C147E7" w:rsidRDefault="00C147E7" w:rsidP="00C147E7">
      <w:pPr>
        <w:numPr>
          <w:ilvl w:val="0"/>
          <w:numId w:val="9"/>
        </w:numPr>
      </w:pPr>
      <w:r w:rsidRPr="00C147E7">
        <w:t>Residential vs. non-residential classifications.</w:t>
      </w:r>
    </w:p>
    <w:p w14:paraId="03559E6B" w14:textId="77777777" w:rsidR="00C147E7" w:rsidRPr="00C147E7" w:rsidRDefault="00C147E7" w:rsidP="00C147E7">
      <w:pPr>
        <w:numPr>
          <w:ilvl w:val="0"/>
          <w:numId w:val="9"/>
        </w:numPr>
      </w:pPr>
      <w:r w:rsidRPr="00C147E7">
        <w:t>Monthly trends in ZIP-County data coverage.</w:t>
      </w:r>
    </w:p>
    <w:p w14:paraId="06AB152A" w14:textId="77777777" w:rsidR="00C147E7" w:rsidRPr="00C147E7" w:rsidRDefault="00000000" w:rsidP="00C147E7">
      <w:r>
        <w:pict w14:anchorId="09BA1591">
          <v:rect id="_x0000_i1035" style="width:0;height:1.5pt" o:hralign="center" o:hrstd="t" o:hr="t" fillcolor="#a0a0a0" stroked="f"/>
        </w:pict>
      </w:r>
    </w:p>
    <w:p w14:paraId="6C5798C3" w14:textId="77777777" w:rsidR="00C147E7" w:rsidRPr="00C147E7" w:rsidRDefault="00C147E7" w:rsidP="00C147E7">
      <w:r w:rsidRPr="00C147E7">
        <w:rPr>
          <w:b/>
          <w:bCs/>
        </w:rPr>
        <w:t>Final Unit of Analysis:</w:t>
      </w:r>
    </w:p>
    <w:p w14:paraId="778C6CFE" w14:textId="77777777" w:rsidR="00C147E7" w:rsidRPr="00C147E7" w:rsidRDefault="00C147E7" w:rsidP="00C147E7">
      <w:r w:rsidRPr="00C147E7">
        <w:lastRenderedPageBreak/>
        <w:t>The unit of analysis is a unique combination of ZIP, county, month-year, and the LDSS ZIP code. This allows for analyzing trends over time with precise spatial detail, including LDSS-specific relationships.</w:t>
      </w:r>
    </w:p>
    <w:p w14:paraId="613E4BBA" w14:textId="77777777" w:rsidR="00C147E7" w:rsidRPr="00C147E7" w:rsidRDefault="00000000" w:rsidP="00C147E7">
      <w:r>
        <w:pict w14:anchorId="42DA0D6E">
          <v:rect id="_x0000_i1036" style="width:0;height:1.5pt" o:hralign="center" o:hrstd="t" o:hr="t" fillcolor="#a0a0a0" stroked="f"/>
        </w:pict>
      </w:r>
    </w:p>
    <w:p w14:paraId="2DEBF75D" w14:textId="77777777" w:rsidR="00C147E7" w:rsidRPr="00C147E7" w:rsidRDefault="00C147E7" w:rsidP="00C147E7">
      <w:r w:rsidRPr="00C147E7">
        <w:rPr>
          <w:b/>
          <w:bCs/>
        </w:rPr>
        <w:t>Outputs:</w:t>
      </w:r>
    </w:p>
    <w:p w14:paraId="507D67A0" w14:textId="77777777" w:rsidR="00C147E7" w:rsidRPr="00C147E7" w:rsidRDefault="00C147E7" w:rsidP="00C147E7">
      <w:pPr>
        <w:numPr>
          <w:ilvl w:val="0"/>
          <w:numId w:val="10"/>
        </w:numPr>
      </w:pPr>
      <w:r w:rsidRPr="00C147E7">
        <w:rPr>
          <w:b/>
          <w:bCs/>
        </w:rPr>
        <w:t>Cleaned Dataset:</w:t>
      </w:r>
      <w:r w:rsidRPr="00C147E7">
        <w:t xml:space="preserve"> A comprehensive Excel file including ZIP-County relationships, ZCTAs, residential classifications, LDSS ZIP codes, and treatment metrics.</w:t>
      </w:r>
    </w:p>
    <w:p w14:paraId="75FD51D8" w14:textId="77777777" w:rsidR="00C147E7" w:rsidRPr="00C147E7" w:rsidRDefault="00C147E7" w:rsidP="00C147E7">
      <w:pPr>
        <w:numPr>
          <w:ilvl w:val="0"/>
          <w:numId w:val="10"/>
        </w:numPr>
      </w:pPr>
      <w:r w:rsidRPr="00C147E7">
        <w:rPr>
          <w:b/>
          <w:bCs/>
        </w:rPr>
        <w:t>Summary Statistics:</w:t>
      </w:r>
      <w:r w:rsidRPr="00C147E7">
        <w:t xml:space="preserve"> Tables summarizing ZIP trends and ZIP-County pair counts by month and classification.</w:t>
      </w:r>
    </w:p>
    <w:p w14:paraId="105E48FC" w14:textId="6489A60C" w:rsidR="008D5BD4" w:rsidRPr="00C147E7" w:rsidRDefault="00C147E7" w:rsidP="00C147E7">
      <w:pPr>
        <w:numPr>
          <w:ilvl w:val="0"/>
          <w:numId w:val="10"/>
        </w:numPr>
      </w:pPr>
      <w:r w:rsidRPr="00C147E7">
        <w:rPr>
          <w:b/>
          <w:bCs/>
        </w:rPr>
        <w:t>README:</w:t>
      </w:r>
      <w:r w:rsidRPr="00C147E7">
        <w:t xml:space="preserve"> Documentation detailing the cleaning steps, assumptions, and key data sources.</w:t>
      </w:r>
    </w:p>
    <w:sectPr w:rsidR="008D5BD4" w:rsidRPr="00C1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1D086A91"/>
    <w:multiLevelType w:val="multilevel"/>
    <w:tmpl w:val="EF7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F057D"/>
    <w:multiLevelType w:val="multilevel"/>
    <w:tmpl w:val="8CC6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8023E"/>
    <w:multiLevelType w:val="multilevel"/>
    <w:tmpl w:val="840A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E3067"/>
    <w:multiLevelType w:val="multilevel"/>
    <w:tmpl w:val="557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05E40"/>
    <w:multiLevelType w:val="multilevel"/>
    <w:tmpl w:val="2E60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E66A7"/>
    <w:multiLevelType w:val="multilevel"/>
    <w:tmpl w:val="ADF6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049BF"/>
    <w:multiLevelType w:val="multilevel"/>
    <w:tmpl w:val="B4A4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069CB"/>
    <w:multiLevelType w:val="multilevel"/>
    <w:tmpl w:val="BCC2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C6DB0"/>
    <w:multiLevelType w:val="multilevel"/>
    <w:tmpl w:val="9C46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E7CDE"/>
    <w:multiLevelType w:val="multilevel"/>
    <w:tmpl w:val="3FFC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5622">
    <w:abstractNumId w:val="0"/>
  </w:num>
  <w:num w:numId="2" w16cid:durableId="1325743376">
    <w:abstractNumId w:val="1"/>
  </w:num>
  <w:num w:numId="3" w16cid:durableId="1164509485">
    <w:abstractNumId w:val="3"/>
  </w:num>
  <w:num w:numId="4" w16cid:durableId="1416829151">
    <w:abstractNumId w:val="8"/>
  </w:num>
  <w:num w:numId="5" w16cid:durableId="1698240067">
    <w:abstractNumId w:val="6"/>
  </w:num>
  <w:num w:numId="6" w16cid:durableId="737631206">
    <w:abstractNumId w:val="2"/>
  </w:num>
  <w:num w:numId="7" w16cid:durableId="19016688">
    <w:abstractNumId w:val="4"/>
  </w:num>
  <w:num w:numId="8" w16cid:durableId="1173883655">
    <w:abstractNumId w:val="7"/>
  </w:num>
  <w:num w:numId="9" w16cid:durableId="613251702">
    <w:abstractNumId w:val="5"/>
  </w:num>
  <w:num w:numId="10" w16cid:durableId="1770420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BC"/>
    <w:rsid w:val="00001051"/>
    <w:rsid w:val="000C3947"/>
    <w:rsid w:val="001E57ED"/>
    <w:rsid w:val="002229BC"/>
    <w:rsid w:val="00225F89"/>
    <w:rsid w:val="003A5882"/>
    <w:rsid w:val="003A601C"/>
    <w:rsid w:val="005D1E4C"/>
    <w:rsid w:val="005F088D"/>
    <w:rsid w:val="00657E11"/>
    <w:rsid w:val="007270D3"/>
    <w:rsid w:val="007A34A3"/>
    <w:rsid w:val="00802782"/>
    <w:rsid w:val="00802C8E"/>
    <w:rsid w:val="008D5BD4"/>
    <w:rsid w:val="0099423F"/>
    <w:rsid w:val="00AB585E"/>
    <w:rsid w:val="00C147E7"/>
    <w:rsid w:val="00CC1DFB"/>
    <w:rsid w:val="00DA5CC9"/>
    <w:rsid w:val="00E445B5"/>
    <w:rsid w:val="00EA1183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7E2"/>
  <w15:chartTrackingRefBased/>
  <w15:docId w15:val="{08E77DB0-B648-4326-98E5-E4B795D9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19</cp:revision>
  <dcterms:created xsi:type="dcterms:W3CDTF">2024-12-27T19:52:00Z</dcterms:created>
  <dcterms:modified xsi:type="dcterms:W3CDTF">2024-12-28T19:06:00Z</dcterms:modified>
</cp:coreProperties>
</file>