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7C919" w14:textId="77777777" w:rsidR="001D6ABF" w:rsidRDefault="001D6ABF" w:rsidP="001D6ABF">
      <w:pPr>
        <w:pStyle w:val="Heading1"/>
      </w:pPr>
      <w:r>
        <w:t>CCD OVERVIEW</w:t>
      </w:r>
    </w:p>
    <w:p w14:paraId="628A79A7" w14:textId="061FDC9D" w:rsidR="00376B11" w:rsidRDefault="00376B11" w:rsidP="00376B11">
      <w:r>
        <w:t>The Common Core of Data (CCD) is a national statistical program that collects and compiles administrative data from state education agencies covering the universe of all public elementary and secondary schools and school districts in the United States. The first CCD collection was for S</w:t>
      </w:r>
      <w:r w:rsidR="00503B10">
        <w:t>chool Year</w:t>
      </w:r>
      <w:r>
        <w:t xml:space="preserve"> 1986–87. The predecessor to CCD was the Elementary and Secondary General Information System.</w:t>
      </w:r>
    </w:p>
    <w:p w14:paraId="7569F6FF" w14:textId="77777777" w:rsidR="00376B11" w:rsidRDefault="00376B11" w:rsidP="00376B11">
      <w:r>
        <w:t>The CCD includes five main collections and several supplemental ones. Both main and supplemental collections are divided into two data content areas: nonfiscal and fiscal. The list of the CCD collections is shown below.</w:t>
      </w:r>
    </w:p>
    <w:p w14:paraId="7D359416" w14:textId="77777777" w:rsidR="00376B11" w:rsidRDefault="00376B11" w:rsidP="001B3FEB">
      <w:pPr>
        <w:pStyle w:val="Heading2"/>
      </w:pPr>
      <w:r>
        <w:t>Main collections:</w:t>
      </w:r>
    </w:p>
    <w:p w14:paraId="0B7F0F26" w14:textId="77777777" w:rsidR="00376B11" w:rsidRDefault="00376B11" w:rsidP="00644FFE">
      <w:pPr>
        <w:pStyle w:val="Heading3"/>
        <w:ind w:left="360"/>
      </w:pPr>
      <w:r>
        <w:t xml:space="preserve">Nonfiscal </w:t>
      </w:r>
    </w:p>
    <w:p w14:paraId="2474E1B9" w14:textId="77777777" w:rsidR="00376B11" w:rsidRDefault="00376B11" w:rsidP="00644FFE">
      <w:pPr>
        <w:pStyle w:val="ListParagraph"/>
        <w:numPr>
          <w:ilvl w:val="0"/>
          <w:numId w:val="1"/>
        </w:numPr>
        <w:ind w:left="1080"/>
      </w:pPr>
      <w:r>
        <w:t xml:space="preserve">Public Elementary/Secondary School Universe </w:t>
      </w:r>
    </w:p>
    <w:p w14:paraId="33044389" w14:textId="77777777" w:rsidR="00376B11" w:rsidRDefault="00376B11" w:rsidP="00644FFE">
      <w:pPr>
        <w:pStyle w:val="ListParagraph"/>
        <w:numPr>
          <w:ilvl w:val="0"/>
          <w:numId w:val="1"/>
        </w:numPr>
        <w:ind w:left="1080"/>
      </w:pPr>
      <w:r>
        <w:t xml:space="preserve">Local Education Agency Universe </w:t>
      </w:r>
    </w:p>
    <w:p w14:paraId="459FA3A1" w14:textId="77777777" w:rsidR="00376B11" w:rsidRDefault="00376B11" w:rsidP="00644FFE">
      <w:pPr>
        <w:pStyle w:val="ListParagraph"/>
        <w:numPr>
          <w:ilvl w:val="0"/>
          <w:numId w:val="1"/>
        </w:numPr>
        <w:ind w:left="1080"/>
      </w:pPr>
      <w:r>
        <w:t>State Nonfiscal Public Elementary/Secondary Education Data</w:t>
      </w:r>
    </w:p>
    <w:p w14:paraId="18552E8F" w14:textId="77777777" w:rsidR="00376B11" w:rsidRDefault="00376B11" w:rsidP="00644FFE">
      <w:pPr>
        <w:pStyle w:val="Heading3"/>
        <w:ind w:left="360"/>
      </w:pPr>
      <w:r>
        <w:t>Fiscal</w:t>
      </w:r>
    </w:p>
    <w:p w14:paraId="16E7D9FA" w14:textId="77777777" w:rsidR="00376B11" w:rsidRDefault="00376B11" w:rsidP="00644FFE">
      <w:pPr>
        <w:pStyle w:val="ListParagraph"/>
        <w:numPr>
          <w:ilvl w:val="0"/>
          <w:numId w:val="2"/>
        </w:numPr>
        <w:ind w:left="1080"/>
      </w:pPr>
      <w:r>
        <w:t>School District Finance Survey (F-33)</w:t>
      </w:r>
    </w:p>
    <w:p w14:paraId="57A1FDDF" w14:textId="77777777" w:rsidR="00376B11" w:rsidRDefault="00376B11" w:rsidP="00644FFE">
      <w:pPr>
        <w:pStyle w:val="ListParagraph"/>
        <w:numPr>
          <w:ilvl w:val="0"/>
          <w:numId w:val="2"/>
        </w:numPr>
        <w:ind w:left="1080"/>
      </w:pPr>
      <w:r>
        <w:t>National Public Education Finance Survey (NPEFS)</w:t>
      </w:r>
    </w:p>
    <w:p w14:paraId="03FB3FA1" w14:textId="77777777" w:rsidR="001D6ABF" w:rsidRDefault="001D6ABF" w:rsidP="001D6ABF">
      <w:pPr>
        <w:pStyle w:val="Heading2"/>
      </w:pPr>
      <w:r w:rsidRPr="001D6ABF">
        <w:t>Supplemental collections:</w:t>
      </w:r>
    </w:p>
    <w:p w14:paraId="58C4A43B" w14:textId="77777777" w:rsidR="00376B11" w:rsidRDefault="00376B11" w:rsidP="00644FFE">
      <w:pPr>
        <w:pStyle w:val="Heading3"/>
        <w:ind w:left="360"/>
      </w:pPr>
      <w:r>
        <w:t>Nonfiscal</w:t>
      </w:r>
    </w:p>
    <w:p w14:paraId="0ADD53BD" w14:textId="77777777" w:rsidR="00376B11" w:rsidRDefault="00376B11" w:rsidP="00644FFE">
      <w:pPr>
        <w:pStyle w:val="ListParagraph"/>
        <w:numPr>
          <w:ilvl w:val="0"/>
          <w:numId w:val="3"/>
        </w:numPr>
        <w:ind w:left="1080"/>
      </w:pPr>
      <w:r>
        <w:t xml:space="preserve">High School Dropouts and Completers </w:t>
      </w:r>
    </w:p>
    <w:p w14:paraId="67E22724" w14:textId="77777777" w:rsidR="00376B11" w:rsidRDefault="00376B11" w:rsidP="00644FFE">
      <w:pPr>
        <w:pStyle w:val="ListParagraph"/>
        <w:numPr>
          <w:ilvl w:val="0"/>
          <w:numId w:val="3"/>
        </w:numPr>
        <w:ind w:left="1080"/>
      </w:pPr>
      <w:r>
        <w:t>Geo-coded Location Data</w:t>
      </w:r>
    </w:p>
    <w:p w14:paraId="6A0473BB" w14:textId="77777777" w:rsidR="00376B11" w:rsidRDefault="00376B11" w:rsidP="00644FFE">
      <w:pPr>
        <w:pStyle w:val="Heading3"/>
        <w:ind w:left="360"/>
      </w:pPr>
      <w:r>
        <w:t>Fiscal</w:t>
      </w:r>
    </w:p>
    <w:p w14:paraId="47D8BD1A" w14:textId="77777777" w:rsidR="00376B11" w:rsidRDefault="00376B11" w:rsidP="00644FFE">
      <w:pPr>
        <w:pStyle w:val="ListParagraph"/>
        <w:numPr>
          <w:ilvl w:val="0"/>
          <w:numId w:val="4"/>
        </w:numPr>
        <w:ind w:left="1080"/>
      </w:pPr>
      <w:r>
        <w:t>School-Level Finance Survey</w:t>
      </w:r>
    </w:p>
    <w:p w14:paraId="60DB6510" w14:textId="77777777" w:rsidR="00376B11" w:rsidRDefault="00376B11" w:rsidP="00644FFE">
      <w:pPr>
        <w:pStyle w:val="ListParagraph"/>
        <w:numPr>
          <w:ilvl w:val="0"/>
          <w:numId w:val="4"/>
        </w:numPr>
        <w:ind w:left="1080"/>
      </w:pPr>
      <w:r>
        <w:t>Pilot Teacher Compensation Survey (historical; no longer conducted)</w:t>
      </w:r>
    </w:p>
    <w:p w14:paraId="5BC0EFC0" w14:textId="77777777" w:rsidR="00376B11" w:rsidRDefault="00376B11" w:rsidP="00376B11">
      <w:r>
        <w:t xml:space="preserve">The primary use of the CCD is to provide national estimates of key education statistics. For example, Public Elementary/Secondary School Universe data contain the total number of students enrolled in public elementary/secondary schools in the United States and the total number of full-time-equivalent teachers working in these schools. The NCES annual Digest of Education Statistics publishes tabulations of CCD data. </w:t>
      </w:r>
    </w:p>
    <w:p w14:paraId="13BA89E5" w14:textId="77777777" w:rsidR="00376B11" w:rsidRDefault="00376B11" w:rsidP="00376B11">
      <w:r>
        <w:t xml:space="preserve">The CCD nonfiscal universe data are often used as a sampling frame for studies of public elementary/secondary education. NCES studies that use the CCD this way include the National Assessment of Educational Progress (NAEP) and the National Teacher and Principal Survey (NTPS).  </w:t>
      </w:r>
    </w:p>
    <w:p w14:paraId="7648D44E" w14:textId="77777777" w:rsidR="00376B11" w:rsidRDefault="00376B11" w:rsidP="00376B11">
      <w:r>
        <w:t>The geographic scope of the CCD nonfiscal universe data includes:</w:t>
      </w:r>
    </w:p>
    <w:p w14:paraId="6305A46D" w14:textId="77777777" w:rsidR="00376B11" w:rsidRDefault="00376B11" w:rsidP="001B3FEB">
      <w:pPr>
        <w:pStyle w:val="ListParagraph"/>
        <w:numPr>
          <w:ilvl w:val="0"/>
          <w:numId w:val="6"/>
        </w:numPr>
      </w:pPr>
      <w:r>
        <w:t>the 50 states and the District of Columbia;</w:t>
      </w:r>
    </w:p>
    <w:p w14:paraId="6A81DF9C" w14:textId="77777777" w:rsidR="00376B11" w:rsidRDefault="00376B11" w:rsidP="001B3FEB">
      <w:pPr>
        <w:pStyle w:val="ListParagraph"/>
        <w:numPr>
          <w:ilvl w:val="0"/>
          <w:numId w:val="6"/>
        </w:numPr>
      </w:pPr>
      <w:r>
        <w:t>Puerto Rico;</w:t>
      </w:r>
    </w:p>
    <w:p w14:paraId="136C40BC" w14:textId="77777777" w:rsidR="00376B11" w:rsidRPr="001B3FEB" w:rsidRDefault="00376B11" w:rsidP="001B3FEB">
      <w:pPr>
        <w:pStyle w:val="ListParagraph"/>
        <w:numPr>
          <w:ilvl w:val="0"/>
          <w:numId w:val="6"/>
        </w:numPr>
      </w:pPr>
      <w:r w:rsidRPr="001B3FEB">
        <w:t>the U.S. Virgin Islands;</w:t>
      </w:r>
    </w:p>
    <w:p w14:paraId="3AFC36B4" w14:textId="77777777" w:rsidR="00376B11" w:rsidRPr="001B3FEB" w:rsidRDefault="00376B11" w:rsidP="001B3FEB">
      <w:pPr>
        <w:pStyle w:val="ListParagraph"/>
        <w:numPr>
          <w:ilvl w:val="0"/>
          <w:numId w:val="6"/>
        </w:numPr>
      </w:pPr>
      <w:r w:rsidRPr="001B3FEB">
        <w:t>American Samoa;</w:t>
      </w:r>
    </w:p>
    <w:p w14:paraId="78CB5906" w14:textId="77777777" w:rsidR="001B3FEB" w:rsidRPr="001B3FEB" w:rsidRDefault="001B3FEB" w:rsidP="001B3FEB">
      <w:pPr>
        <w:pStyle w:val="ListParagraph"/>
        <w:numPr>
          <w:ilvl w:val="0"/>
          <w:numId w:val="6"/>
        </w:numPr>
      </w:pPr>
      <w:r w:rsidRPr="001B3FEB">
        <w:lastRenderedPageBreak/>
        <w:t xml:space="preserve">Commonwealth of the Northern Mariana Islands; </w:t>
      </w:r>
    </w:p>
    <w:p w14:paraId="2C233FE1" w14:textId="77777777" w:rsidR="00376B11" w:rsidRDefault="00376B11" w:rsidP="001B3FEB">
      <w:pPr>
        <w:pStyle w:val="ListParagraph"/>
        <w:numPr>
          <w:ilvl w:val="0"/>
          <w:numId w:val="6"/>
        </w:numPr>
      </w:pPr>
      <w:r>
        <w:t>Guam;</w:t>
      </w:r>
    </w:p>
    <w:p w14:paraId="5F566896" w14:textId="77777777" w:rsidR="00376B11" w:rsidRDefault="00376B11" w:rsidP="001B3FEB">
      <w:pPr>
        <w:pStyle w:val="ListParagraph"/>
        <w:numPr>
          <w:ilvl w:val="0"/>
          <w:numId w:val="6"/>
        </w:numPr>
      </w:pPr>
      <w:r>
        <w:t xml:space="preserve">Bureau of Indian Education (BIE); and </w:t>
      </w:r>
    </w:p>
    <w:p w14:paraId="10F73822" w14:textId="7171B345" w:rsidR="00376B11" w:rsidRDefault="00376B11" w:rsidP="001B3FEB">
      <w:pPr>
        <w:pStyle w:val="ListParagraph"/>
        <w:numPr>
          <w:ilvl w:val="0"/>
          <w:numId w:val="6"/>
        </w:numPr>
      </w:pPr>
      <w:r>
        <w:t>Department of Defense Education Activity (DoDEA)</w:t>
      </w:r>
      <w:r w:rsidR="002C005E">
        <w:rPr>
          <w:rStyle w:val="FootnoteReference"/>
        </w:rPr>
        <w:footnoteReference w:id="1"/>
      </w:r>
      <w:r>
        <w:t xml:space="preserve">. </w:t>
      </w:r>
    </w:p>
    <w:p w14:paraId="77312A91" w14:textId="09FCDDCE" w:rsidR="00A36373" w:rsidRDefault="00376B11" w:rsidP="00376B11">
      <w:r>
        <w:t>References in CCD to state education agencies include the reporting agencies for the island territories, BIE, and DoDEA. Tabulations of CCD data generally include only the 50 states and the District of Columbia in U.S. totals; the island territories, BIE, and DoDEA are listed separately in tabulations.</w:t>
      </w:r>
    </w:p>
    <w:p w14:paraId="44D5D0F9" w14:textId="174F73E9" w:rsidR="00E56DBB" w:rsidRDefault="00E56DBB" w:rsidP="00376B11"/>
    <w:sectPr w:rsidR="00E56DB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7C094" w14:textId="77777777" w:rsidR="00E56DBB" w:rsidRDefault="00E56DBB" w:rsidP="00E56DBB">
      <w:pPr>
        <w:spacing w:after="0" w:line="240" w:lineRule="auto"/>
      </w:pPr>
      <w:r>
        <w:separator/>
      </w:r>
    </w:p>
  </w:endnote>
  <w:endnote w:type="continuationSeparator" w:id="0">
    <w:p w14:paraId="3976DC42" w14:textId="77777777" w:rsidR="00E56DBB" w:rsidRDefault="00E56DBB" w:rsidP="00E56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0D07" w14:textId="0715568C" w:rsidR="00850D28" w:rsidRDefault="00F57D55" w:rsidP="00850D28">
    <w:pPr>
      <w:pStyle w:val="Footer"/>
      <w:jc w:val="right"/>
    </w:pPr>
    <w:r>
      <w:ptab w:relativeTo="margin" w:alignment="center" w:leader="none"/>
    </w:r>
    <w:r w:rsidR="00850D28">
      <w:t>REVIEWED and REVISED 3-5-2021</w:t>
    </w:r>
  </w:p>
  <w:p w14:paraId="64288BC0" w14:textId="77777777" w:rsidR="00850D28" w:rsidRDefault="00850D28" w:rsidP="00850D28">
    <w:pPr>
      <w:pStyle w:val="Footer"/>
      <w:jc w:val="right"/>
    </w:pPr>
    <w:r>
      <w:t xml:space="preserve">Page </w:t>
    </w:r>
    <w:sdt>
      <w:sdtPr>
        <w:id w:val="9843650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3F27D9F1" w14:textId="2E4385F0" w:rsidR="00F57D55" w:rsidRDefault="00F57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C0D78" w14:textId="77777777" w:rsidR="00E56DBB" w:rsidRDefault="00E56DBB" w:rsidP="00E56DBB">
      <w:pPr>
        <w:spacing w:after="0" w:line="240" w:lineRule="auto"/>
      </w:pPr>
      <w:r>
        <w:separator/>
      </w:r>
    </w:p>
  </w:footnote>
  <w:footnote w:type="continuationSeparator" w:id="0">
    <w:p w14:paraId="2ECF7A40" w14:textId="77777777" w:rsidR="00E56DBB" w:rsidRDefault="00E56DBB" w:rsidP="00E56DBB">
      <w:pPr>
        <w:spacing w:after="0" w:line="240" w:lineRule="auto"/>
      </w:pPr>
      <w:r>
        <w:continuationSeparator/>
      </w:r>
    </w:p>
  </w:footnote>
  <w:footnote w:id="1">
    <w:p w14:paraId="31F741CC" w14:textId="3587BB09" w:rsidR="002C005E" w:rsidRDefault="002C005E">
      <w:pPr>
        <w:pStyle w:val="FootnoteText"/>
      </w:pPr>
      <w:r>
        <w:rPr>
          <w:rStyle w:val="FootnoteReference"/>
        </w:rPr>
        <w:footnoteRef/>
      </w:r>
      <w:r>
        <w:t xml:space="preserve"> DoDEA has not submitted CCD nonfiscal data since SY 201</w:t>
      </w:r>
      <w:r w:rsidR="003B1D68">
        <w:t>7-18</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33818"/>
    <w:multiLevelType w:val="hybridMultilevel"/>
    <w:tmpl w:val="5184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46ED4"/>
    <w:multiLevelType w:val="hybridMultilevel"/>
    <w:tmpl w:val="463AA834"/>
    <w:lvl w:ilvl="0" w:tplc="AA364D2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10492"/>
    <w:multiLevelType w:val="hybridMultilevel"/>
    <w:tmpl w:val="06DA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2636F"/>
    <w:multiLevelType w:val="hybridMultilevel"/>
    <w:tmpl w:val="A3EE7988"/>
    <w:lvl w:ilvl="0" w:tplc="58F4DB0C">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4C47104E"/>
    <w:multiLevelType w:val="hybridMultilevel"/>
    <w:tmpl w:val="58C61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0A0A70"/>
    <w:multiLevelType w:val="hybridMultilevel"/>
    <w:tmpl w:val="1B86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06C55"/>
    <w:multiLevelType w:val="hybridMultilevel"/>
    <w:tmpl w:val="88CA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F5FFD"/>
    <w:multiLevelType w:val="hybridMultilevel"/>
    <w:tmpl w:val="7236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6"/>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11"/>
    <w:rsid w:val="001B3FEB"/>
    <w:rsid w:val="001D6ABF"/>
    <w:rsid w:val="002C005E"/>
    <w:rsid w:val="003639CD"/>
    <w:rsid w:val="00376B11"/>
    <w:rsid w:val="003B1D68"/>
    <w:rsid w:val="00503B10"/>
    <w:rsid w:val="006415DA"/>
    <w:rsid w:val="00644FFE"/>
    <w:rsid w:val="00850D28"/>
    <w:rsid w:val="00891F16"/>
    <w:rsid w:val="009A61F2"/>
    <w:rsid w:val="009D75E7"/>
    <w:rsid w:val="00A36373"/>
    <w:rsid w:val="00B72BBB"/>
    <w:rsid w:val="00E56DBB"/>
    <w:rsid w:val="00F027BA"/>
    <w:rsid w:val="00F57D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6C7C"/>
  <w15:docId w15:val="{67063981-1BEA-4A34-9E7B-628CCE81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3F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F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F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3FEB"/>
    <w:pPr>
      <w:ind w:left="720"/>
      <w:contextualSpacing/>
    </w:pPr>
  </w:style>
  <w:style w:type="character" w:customStyle="1" w:styleId="Heading3Char">
    <w:name w:val="Heading 3 Char"/>
    <w:basedOn w:val="DefaultParagraphFont"/>
    <w:link w:val="Heading3"/>
    <w:uiPriority w:val="9"/>
    <w:rsid w:val="001B3FEB"/>
    <w:rPr>
      <w:rFonts w:asciiTheme="majorHAnsi" w:eastAsiaTheme="majorEastAsia" w:hAnsiTheme="majorHAnsi" w:cstheme="majorBidi"/>
      <w:color w:val="1F3763" w:themeColor="accent1" w:themeShade="7F"/>
      <w:sz w:val="24"/>
      <w:szCs w:val="24"/>
    </w:rPr>
  </w:style>
  <w:style w:type="paragraph" w:customStyle="1" w:styleId="Bullet">
    <w:name w:val="Bullet"/>
    <w:basedOn w:val="Normal"/>
    <w:qFormat/>
    <w:rsid w:val="001B3FEB"/>
    <w:pPr>
      <w:numPr>
        <w:numId w:val="7"/>
      </w:numPr>
      <w:spacing w:after="120" w:line="240" w:lineRule="auto"/>
    </w:pPr>
    <w:rPr>
      <w:rFonts w:ascii="Times New Roman" w:eastAsia="Calibri" w:hAnsi="Times New Roman" w:cs="Times New Roman"/>
      <w:sz w:val="24"/>
      <w:szCs w:val="24"/>
    </w:rPr>
  </w:style>
  <w:style w:type="paragraph" w:styleId="TOCHeading">
    <w:name w:val="TOC Heading"/>
    <w:basedOn w:val="Heading1"/>
    <w:next w:val="Normal"/>
    <w:uiPriority w:val="39"/>
    <w:unhideWhenUsed/>
    <w:qFormat/>
    <w:rsid w:val="001D6ABF"/>
    <w:pPr>
      <w:outlineLvl w:val="9"/>
    </w:pPr>
  </w:style>
  <w:style w:type="paragraph" w:styleId="TOC1">
    <w:name w:val="toc 1"/>
    <w:basedOn w:val="Normal"/>
    <w:next w:val="Normal"/>
    <w:autoRedefine/>
    <w:uiPriority w:val="39"/>
    <w:unhideWhenUsed/>
    <w:rsid w:val="001D6ABF"/>
    <w:pPr>
      <w:spacing w:after="100"/>
    </w:pPr>
  </w:style>
  <w:style w:type="paragraph" w:styleId="TOC2">
    <w:name w:val="toc 2"/>
    <w:basedOn w:val="Normal"/>
    <w:next w:val="Normal"/>
    <w:autoRedefine/>
    <w:uiPriority w:val="39"/>
    <w:unhideWhenUsed/>
    <w:rsid w:val="001D6ABF"/>
    <w:pPr>
      <w:spacing w:after="100"/>
      <w:ind w:left="220"/>
    </w:pPr>
  </w:style>
  <w:style w:type="paragraph" w:styleId="TOC3">
    <w:name w:val="toc 3"/>
    <w:basedOn w:val="Normal"/>
    <w:next w:val="Normal"/>
    <w:autoRedefine/>
    <w:uiPriority w:val="39"/>
    <w:unhideWhenUsed/>
    <w:rsid w:val="001D6ABF"/>
    <w:pPr>
      <w:spacing w:after="100"/>
      <w:ind w:left="440"/>
    </w:pPr>
  </w:style>
  <w:style w:type="character" w:styleId="Hyperlink">
    <w:name w:val="Hyperlink"/>
    <w:basedOn w:val="DefaultParagraphFont"/>
    <w:uiPriority w:val="99"/>
    <w:unhideWhenUsed/>
    <w:rsid w:val="001D6ABF"/>
    <w:rPr>
      <w:color w:val="0563C1" w:themeColor="hyperlink"/>
      <w:u w:val="single"/>
    </w:rPr>
  </w:style>
  <w:style w:type="paragraph" w:styleId="BalloonText">
    <w:name w:val="Balloon Text"/>
    <w:basedOn w:val="Normal"/>
    <w:link w:val="BalloonTextChar"/>
    <w:uiPriority w:val="99"/>
    <w:semiHidden/>
    <w:unhideWhenUsed/>
    <w:rsid w:val="00E56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DBB"/>
    <w:rPr>
      <w:rFonts w:ascii="Segoe UI" w:hAnsi="Segoe UI" w:cs="Segoe UI"/>
      <w:sz w:val="18"/>
      <w:szCs w:val="18"/>
    </w:rPr>
  </w:style>
  <w:style w:type="paragraph" w:styleId="FootnoteText">
    <w:name w:val="footnote text"/>
    <w:basedOn w:val="Normal"/>
    <w:link w:val="FootnoteTextChar"/>
    <w:uiPriority w:val="99"/>
    <w:semiHidden/>
    <w:unhideWhenUsed/>
    <w:rsid w:val="00E56DBB"/>
    <w:pPr>
      <w:spacing w:after="200" w:line="276" w:lineRule="auto"/>
    </w:pPr>
    <w:rPr>
      <w:rFonts w:ascii="Calibri" w:eastAsia="PMingLiU" w:hAnsi="Calibri" w:cs="Times New Roman"/>
      <w:sz w:val="20"/>
      <w:szCs w:val="20"/>
    </w:rPr>
  </w:style>
  <w:style w:type="character" w:customStyle="1" w:styleId="FootnoteTextChar">
    <w:name w:val="Footnote Text Char"/>
    <w:basedOn w:val="DefaultParagraphFont"/>
    <w:link w:val="FootnoteText"/>
    <w:uiPriority w:val="99"/>
    <w:semiHidden/>
    <w:rsid w:val="00E56DBB"/>
    <w:rPr>
      <w:rFonts w:ascii="Calibri" w:eastAsia="PMingLiU" w:hAnsi="Calibri" w:cs="Times New Roman"/>
      <w:sz w:val="20"/>
      <w:szCs w:val="20"/>
    </w:rPr>
  </w:style>
  <w:style w:type="character" w:styleId="FootnoteReference">
    <w:name w:val="footnote reference"/>
    <w:uiPriority w:val="99"/>
    <w:semiHidden/>
    <w:unhideWhenUsed/>
    <w:rsid w:val="00E56DBB"/>
    <w:rPr>
      <w:vertAlign w:val="superscript"/>
    </w:rPr>
  </w:style>
  <w:style w:type="character" w:styleId="CommentReference">
    <w:name w:val="annotation reference"/>
    <w:basedOn w:val="DefaultParagraphFont"/>
    <w:uiPriority w:val="99"/>
    <w:semiHidden/>
    <w:unhideWhenUsed/>
    <w:rsid w:val="00E56DBB"/>
    <w:rPr>
      <w:sz w:val="16"/>
      <w:szCs w:val="16"/>
    </w:rPr>
  </w:style>
  <w:style w:type="paragraph" w:styleId="CommentText">
    <w:name w:val="annotation text"/>
    <w:basedOn w:val="Normal"/>
    <w:link w:val="CommentTextChar"/>
    <w:uiPriority w:val="99"/>
    <w:semiHidden/>
    <w:unhideWhenUsed/>
    <w:rsid w:val="00E56DBB"/>
    <w:pPr>
      <w:spacing w:line="240" w:lineRule="auto"/>
    </w:pPr>
    <w:rPr>
      <w:sz w:val="20"/>
      <w:szCs w:val="20"/>
    </w:rPr>
  </w:style>
  <w:style w:type="character" w:customStyle="1" w:styleId="CommentTextChar">
    <w:name w:val="Comment Text Char"/>
    <w:basedOn w:val="DefaultParagraphFont"/>
    <w:link w:val="CommentText"/>
    <w:uiPriority w:val="99"/>
    <w:semiHidden/>
    <w:rsid w:val="00E56DBB"/>
    <w:rPr>
      <w:sz w:val="20"/>
      <w:szCs w:val="20"/>
    </w:rPr>
  </w:style>
  <w:style w:type="paragraph" w:styleId="Header">
    <w:name w:val="header"/>
    <w:basedOn w:val="Normal"/>
    <w:link w:val="HeaderChar"/>
    <w:uiPriority w:val="99"/>
    <w:unhideWhenUsed/>
    <w:rsid w:val="00F57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D55"/>
  </w:style>
  <w:style w:type="paragraph" w:styleId="Footer">
    <w:name w:val="footer"/>
    <w:basedOn w:val="Normal"/>
    <w:link w:val="FooterChar"/>
    <w:uiPriority w:val="99"/>
    <w:unhideWhenUsed/>
    <w:rsid w:val="00F57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D55"/>
  </w:style>
  <w:style w:type="paragraph" w:styleId="CommentSubject">
    <w:name w:val="annotation subject"/>
    <w:basedOn w:val="CommentText"/>
    <w:next w:val="CommentText"/>
    <w:link w:val="CommentSubjectChar"/>
    <w:uiPriority w:val="99"/>
    <w:semiHidden/>
    <w:unhideWhenUsed/>
    <w:rsid w:val="006415DA"/>
    <w:rPr>
      <w:b/>
      <w:bCs/>
    </w:rPr>
  </w:style>
  <w:style w:type="character" w:customStyle="1" w:styleId="CommentSubjectChar">
    <w:name w:val="Comment Subject Char"/>
    <w:basedOn w:val="CommentTextChar"/>
    <w:link w:val="CommentSubject"/>
    <w:uiPriority w:val="99"/>
    <w:semiHidden/>
    <w:rsid w:val="006415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Document_x0020_Purpose xmlns="75b8f200-01bb-4893-a3c4-f3a17e332d98" xsi:nil="true"/>
    <_dlc_DocId xmlns="b7635ab0-52e7-4e33-aa76-893cd120ef45">DNVT47QTA7NQ-509440880-387163</_dlc_DocId>
    <_dlc_DocIdUrl xmlns="b7635ab0-52e7-4e33-aa76-893cd120ef45">
      <Url>https://sharepoint.aemcorp.com/ed/EDMITS/_layouts/15/DocIdRedir.aspx?ID=DNVT47QTA7NQ-509440880-387163</Url>
      <Description>DNVT47QTA7NQ-509440880-387163</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2B3715E16EAB77488364DB5A7DF40B5A" ma:contentTypeVersion="12" ma:contentTypeDescription="Create a new document." ma:contentTypeScope="" ma:versionID="615f6b7c412f7cc092d30a3cf7159560">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394a5eed419129b7d757e7c18ca5e0bd"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Notes"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137F2F-A063-4234-A57F-3F3B497DE205}">
  <ds:schemaRefs>
    <ds:schemaRef ds:uri="http://schemas.microsoft.com/sharepoint/v3/contenttype/forms"/>
  </ds:schemaRefs>
</ds:datastoreItem>
</file>

<file path=customXml/itemProps2.xml><?xml version="1.0" encoding="utf-8"?>
<ds:datastoreItem xmlns:ds="http://schemas.openxmlformats.org/officeDocument/2006/customXml" ds:itemID="{6E82960F-C91D-43C4-95D4-2A3F4780D20D}">
  <ds:schemaRefs>
    <ds:schemaRef ds:uri="http://schemas.microsoft.com/sharepoint/events"/>
  </ds:schemaRefs>
</ds:datastoreItem>
</file>

<file path=customXml/itemProps3.xml><?xml version="1.0" encoding="utf-8"?>
<ds:datastoreItem xmlns:ds="http://schemas.openxmlformats.org/officeDocument/2006/customXml" ds:itemID="{ECFFC456-4FE6-4629-BE89-E160DF13DE83}">
  <ds:schemaRefs>
    <ds:schemaRef ds:uri="75b8f200-01bb-4893-a3c4-f3a17e332d98"/>
    <ds:schemaRef ds:uri="http://purl.org/dc/terms/"/>
    <ds:schemaRef ds:uri="http://schemas.microsoft.com/office/2006/metadata/properties"/>
    <ds:schemaRef ds:uri="http://www.w3.org/XML/1998/namespace"/>
    <ds:schemaRef ds:uri="http://purl.org/dc/dcmitype/"/>
    <ds:schemaRef ds:uri="b7635ab0-52e7-4e33-aa76-893cd120ef45"/>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sharepoint/v3"/>
  </ds:schemaRefs>
</ds:datastoreItem>
</file>

<file path=customXml/itemProps4.xml><?xml version="1.0" encoding="utf-8"?>
<ds:datastoreItem xmlns:ds="http://schemas.openxmlformats.org/officeDocument/2006/customXml" ds:itemID="{1EC7755B-BB7D-4ACE-90BE-87D4554C995B}">
  <ds:schemaRefs>
    <ds:schemaRef ds:uri="http://schemas.openxmlformats.org/officeDocument/2006/bibliography"/>
  </ds:schemaRefs>
</ds:datastoreItem>
</file>

<file path=customXml/itemProps5.xml><?xml version="1.0" encoding="utf-8"?>
<ds:datastoreItem xmlns:ds="http://schemas.openxmlformats.org/officeDocument/2006/customXml" ds:itemID="{C3ADD7A0-A7BA-4963-B09C-9A6A2CF74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Beth Sinclair</dc:creator>
  <cp:lastModifiedBy>Chen, Chen-Su</cp:lastModifiedBy>
  <cp:revision>8</cp:revision>
  <cp:lastPrinted>2021-03-01T16:08:00Z</cp:lastPrinted>
  <dcterms:created xsi:type="dcterms:W3CDTF">2021-02-26T21:51:00Z</dcterms:created>
  <dcterms:modified xsi:type="dcterms:W3CDTF">2021-03-03T16:53:00Z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0x0101002B3715E16EAB77488364DB5A7DF40B5A</vt:lpwstr>
  </property>
  <property fmtid="{D5CDD505-2E9C-101B-9397-08002B2CF9AE}" pid="3" name="_dlc_DocIdItemGuid">
    <vt:lpwstr>c445a12c-1f6f-405e-8704-1d41b48e88b2</vt:lpwstr>
  </property>
</Properties>
</file>